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8EF7" w14:textId="77777777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40"/>
          <w:szCs w:val="40"/>
        </w:rPr>
      </w:pPr>
      <w:r>
        <w:rPr>
          <w:rFonts w:ascii="Arial" w:hAnsi="Arial" w:cs="Arial"/>
          <w:b/>
          <w:bCs/>
          <w:kern w:val="0"/>
          <w:sz w:val="40"/>
          <w:szCs w:val="40"/>
        </w:rPr>
        <w:t>R(S) 8/79</w:t>
      </w:r>
    </w:p>
    <w:p w14:paraId="45D74D22" w14:textId="77777777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>19.1.79</w:t>
      </w:r>
    </w:p>
    <w:p w14:paraId="6FB6DC0D" w14:textId="77777777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>INVALIDITY BENEFIT</w:t>
      </w:r>
    </w:p>
    <w:p w14:paraId="0315D570" w14:textId="069B0E39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  <w:r>
        <w:rPr>
          <w:rFonts w:ascii="Arial" w:hAnsi="Arial" w:cs="Arial"/>
          <w:b/>
          <w:bCs/>
          <w:kern w:val="0"/>
          <w:sz w:val="23"/>
          <w:szCs w:val="23"/>
        </w:rPr>
        <w:t xml:space="preserve">Imprisonment - committal to prison by a </w:t>
      </w:r>
      <w:proofErr w:type="gramStart"/>
      <w:r>
        <w:rPr>
          <w:rFonts w:ascii="Arial" w:hAnsi="Arial" w:cs="Arial"/>
          <w:b/>
          <w:bCs/>
          <w:kern w:val="0"/>
          <w:sz w:val="23"/>
          <w:szCs w:val="23"/>
        </w:rPr>
        <w:t>magistrates</w:t>
      </w:r>
      <w:proofErr w:type="gramEnd"/>
      <w:r>
        <w:rPr>
          <w:rFonts w:ascii="Arial" w:hAnsi="Arial" w:cs="Arial"/>
          <w:b/>
          <w:bCs/>
          <w:kern w:val="0"/>
          <w:sz w:val="23"/>
          <w:szCs w:val="23"/>
        </w:rPr>
        <w:t xml:space="preserve"> order made under section 64 of the Magistrates'</w:t>
      </w:r>
      <w:r w:rsidR="00546E3C">
        <w:rPr>
          <w:rFonts w:ascii="Arial" w:hAnsi="Arial" w:cs="Arial"/>
          <w:b/>
          <w:bCs/>
          <w:kern w:val="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kern w:val="0"/>
          <w:sz w:val="23"/>
          <w:szCs w:val="23"/>
        </w:rPr>
        <w:t>Courts Act 1952 by reason of civil contempt of court</w:t>
      </w:r>
    </w:p>
    <w:p w14:paraId="3156004E" w14:textId="77777777" w:rsidR="00546E3C" w:rsidRDefault="00546E3C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</w:p>
    <w:p w14:paraId="4A08F945" w14:textId="21AFA359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The claimant had been committed to prison by an order of a Magistrates Court under section 64 of the Magistrates'</w:t>
      </w:r>
      <w:r w:rsidR="00546E3C">
        <w:rPr>
          <w:rFonts w:ascii="Arial" w:hAnsi="Arial" w:cs="Arial"/>
          <w:kern w:val="0"/>
          <w:sz w:val="23"/>
          <w:szCs w:val="23"/>
        </w:rPr>
        <w:t xml:space="preserve"> </w:t>
      </w:r>
      <w:r>
        <w:rPr>
          <w:rFonts w:ascii="Arial" w:hAnsi="Arial" w:cs="Arial"/>
          <w:kern w:val="0"/>
          <w:sz w:val="23"/>
          <w:szCs w:val="23"/>
        </w:rPr>
        <w:t>Courts Act 1952 by reason of his disobedience of an earlier order of magistrates that he pay maintenance for his</w:t>
      </w:r>
      <w:r w:rsidR="00546E3C">
        <w:rPr>
          <w:rFonts w:ascii="Arial" w:hAnsi="Arial" w:cs="Arial"/>
          <w:kern w:val="0"/>
          <w:sz w:val="23"/>
          <w:szCs w:val="23"/>
        </w:rPr>
        <w:t xml:space="preserve"> </w:t>
      </w:r>
      <w:r>
        <w:rPr>
          <w:rFonts w:ascii="Arial" w:hAnsi="Arial" w:cs="Arial"/>
          <w:kern w:val="0"/>
          <w:sz w:val="23"/>
          <w:szCs w:val="23"/>
        </w:rPr>
        <w:t xml:space="preserve">wife. Invalidity benefit was paid for the period during which he was so imprisoned. The insurance officer </w:t>
      </w:r>
      <w:proofErr w:type="gramStart"/>
      <w:r>
        <w:rPr>
          <w:rFonts w:ascii="Arial" w:hAnsi="Arial" w:cs="Arial"/>
          <w:kern w:val="0"/>
          <w:sz w:val="23"/>
          <w:szCs w:val="23"/>
        </w:rPr>
        <w:t>reviewed</w:t>
      </w:r>
      <w:proofErr w:type="gramEnd"/>
    </w:p>
    <w:p w14:paraId="6C182164" w14:textId="0DC1C507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and revised the award on the grounds that the claimant should have been disqualified under section 82(5) (b) of</w:t>
      </w:r>
      <w:r w:rsidR="00546E3C">
        <w:rPr>
          <w:rFonts w:ascii="Arial" w:hAnsi="Arial" w:cs="Arial"/>
          <w:kern w:val="0"/>
          <w:sz w:val="23"/>
          <w:szCs w:val="23"/>
        </w:rPr>
        <w:t xml:space="preserve"> </w:t>
      </w:r>
      <w:r>
        <w:rPr>
          <w:rFonts w:ascii="Arial" w:hAnsi="Arial" w:cs="Arial"/>
          <w:kern w:val="0"/>
          <w:sz w:val="23"/>
          <w:szCs w:val="23"/>
        </w:rPr>
        <w:t>the Social Security Act 1975.</w:t>
      </w:r>
    </w:p>
    <w:p w14:paraId="72869B72" w14:textId="77777777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</w:p>
    <w:p w14:paraId="74C5E153" w14:textId="77777777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i/>
          <w:iCs/>
          <w:kern w:val="0"/>
          <w:sz w:val="23"/>
          <w:szCs w:val="23"/>
        </w:rPr>
        <w:t xml:space="preserve">Held </w:t>
      </w:r>
      <w:proofErr w:type="gramStart"/>
      <w:r>
        <w:rPr>
          <w:rFonts w:ascii="Arial" w:hAnsi="Arial" w:cs="Arial"/>
          <w:kern w:val="0"/>
          <w:sz w:val="23"/>
          <w:szCs w:val="23"/>
        </w:rPr>
        <w:t>that :</w:t>
      </w:r>
      <w:proofErr w:type="gramEnd"/>
      <w:r>
        <w:rPr>
          <w:rFonts w:ascii="Arial" w:hAnsi="Arial" w:cs="Arial"/>
          <w:kern w:val="0"/>
          <w:sz w:val="23"/>
          <w:szCs w:val="23"/>
        </w:rPr>
        <w:t>-</w:t>
      </w:r>
    </w:p>
    <w:p w14:paraId="4E735D27" w14:textId="77777777" w:rsidR="00546E3C" w:rsidRDefault="00546E3C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</w:p>
    <w:p w14:paraId="601F460B" w14:textId="0A4725B7" w:rsidR="00674C13" w:rsidRPr="00546E3C" w:rsidRDefault="00674C13" w:rsidP="00546E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 w:rsidRPr="00546E3C">
        <w:rPr>
          <w:rFonts w:ascii="Arial" w:hAnsi="Arial" w:cs="Arial"/>
          <w:kern w:val="0"/>
          <w:sz w:val="23"/>
          <w:szCs w:val="23"/>
        </w:rPr>
        <w:t>the claimant's imprisonment had nothing to do with a criminal offence, but was for a civil form of contempt of</w:t>
      </w:r>
      <w:r w:rsidR="00546E3C" w:rsidRPr="00546E3C">
        <w:rPr>
          <w:rFonts w:ascii="Arial" w:hAnsi="Arial" w:cs="Arial"/>
          <w:kern w:val="0"/>
          <w:sz w:val="23"/>
          <w:szCs w:val="23"/>
        </w:rPr>
        <w:t xml:space="preserve"> </w:t>
      </w:r>
      <w:r w:rsidRPr="00546E3C">
        <w:rPr>
          <w:rFonts w:ascii="Arial" w:hAnsi="Arial" w:cs="Arial"/>
          <w:kern w:val="0"/>
          <w:sz w:val="23"/>
          <w:szCs w:val="23"/>
        </w:rPr>
        <w:t>Court (paras 6 and 7</w:t>
      </w:r>
      <w:proofErr w:type="gramStart"/>
      <w:r w:rsidRPr="00546E3C">
        <w:rPr>
          <w:rFonts w:ascii="Arial" w:hAnsi="Arial" w:cs="Arial"/>
          <w:kern w:val="0"/>
          <w:sz w:val="23"/>
          <w:szCs w:val="23"/>
        </w:rPr>
        <w:t>);</w:t>
      </w:r>
      <w:proofErr w:type="gramEnd"/>
    </w:p>
    <w:p w14:paraId="2D0A96C7" w14:textId="77777777" w:rsidR="00546E3C" w:rsidRPr="00546E3C" w:rsidRDefault="00546E3C" w:rsidP="00546E3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</w:p>
    <w:p w14:paraId="63B16C6F" w14:textId="0C190476" w:rsidR="00674C13" w:rsidRDefault="00674C13" w:rsidP="00546E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 w:rsidRPr="00546E3C">
        <w:rPr>
          <w:rFonts w:ascii="Arial" w:hAnsi="Arial" w:cs="Arial"/>
          <w:kern w:val="0"/>
          <w:sz w:val="23"/>
          <w:szCs w:val="23"/>
        </w:rPr>
        <w:t>the claimant should not be disqualified for receiving invalidity benefit for the period of his imprisonment under</w:t>
      </w:r>
      <w:r w:rsidR="00546E3C" w:rsidRPr="00546E3C">
        <w:rPr>
          <w:rFonts w:ascii="Arial" w:hAnsi="Arial" w:cs="Arial"/>
          <w:kern w:val="0"/>
          <w:sz w:val="23"/>
          <w:szCs w:val="23"/>
        </w:rPr>
        <w:t xml:space="preserve"> </w:t>
      </w:r>
      <w:r w:rsidRPr="00546E3C">
        <w:rPr>
          <w:rFonts w:ascii="Arial" w:hAnsi="Arial" w:cs="Arial"/>
          <w:kern w:val="0"/>
          <w:sz w:val="23"/>
          <w:szCs w:val="23"/>
        </w:rPr>
        <w:t>section 82(5)(b) of the Social Security Act 1975, as the Court was not exercising criminal jurisdiction (para 8</w:t>
      </w:r>
      <w:proofErr w:type="gramStart"/>
      <w:r w:rsidRPr="00546E3C">
        <w:rPr>
          <w:rFonts w:ascii="Arial" w:hAnsi="Arial" w:cs="Arial"/>
          <w:kern w:val="0"/>
          <w:sz w:val="23"/>
          <w:szCs w:val="23"/>
        </w:rPr>
        <w:t>);</w:t>
      </w:r>
      <w:proofErr w:type="gramEnd"/>
    </w:p>
    <w:p w14:paraId="714B39BE" w14:textId="77777777" w:rsidR="00546E3C" w:rsidRPr="00546E3C" w:rsidRDefault="00546E3C" w:rsidP="00546E3C">
      <w:pPr>
        <w:pStyle w:val="ListParagraph"/>
        <w:rPr>
          <w:rFonts w:ascii="Arial" w:hAnsi="Arial" w:cs="Arial"/>
          <w:kern w:val="0"/>
          <w:sz w:val="23"/>
          <w:szCs w:val="23"/>
        </w:rPr>
      </w:pPr>
    </w:p>
    <w:p w14:paraId="0E29B681" w14:textId="2EA1F1C8" w:rsidR="00546E3C" w:rsidRDefault="00546E3C" w:rsidP="00546E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the decision awarding invalidity benefit was properly reviewed but should not have been revised (para 9</w:t>
      </w:r>
      <w:r>
        <w:rPr>
          <w:rFonts w:ascii="Arial" w:hAnsi="Arial" w:cs="Arial"/>
          <w:kern w:val="0"/>
          <w:sz w:val="23"/>
          <w:szCs w:val="23"/>
        </w:rPr>
        <w:t>)</w:t>
      </w:r>
    </w:p>
    <w:p w14:paraId="5AE1EF14" w14:textId="77777777" w:rsidR="00674C13" w:rsidRDefault="00674C13" w:rsidP="00674C13">
      <w:pPr>
        <w:rPr>
          <w:rFonts w:ascii="Arial" w:hAnsi="Arial" w:cs="Arial"/>
          <w:kern w:val="0"/>
          <w:sz w:val="23"/>
          <w:szCs w:val="23"/>
        </w:rPr>
      </w:pPr>
    </w:p>
    <w:p w14:paraId="0A1DF0D5" w14:textId="585510AF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1. My decision is that the decision awarding invalidity benefit to the claimant for the</w:t>
      </w:r>
      <w:r w:rsidR="00C45ECE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period 30 March to 6 May 1976 is not to be revised on review.</w:t>
      </w:r>
    </w:p>
    <w:p w14:paraId="3FEDBECD" w14:textId="77777777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</w:p>
    <w:p w14:paraId="24FED4F0" w14:textId="547389DE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2. The claimant was at the time in receipt of invalidity benefit, but by an order of the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Magistrates' Court at Penzance dated 14 January 1976 he was ordered to be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committed to prison (pursuant to section 64 of the Magistrates' Courts Act 1952) for a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period of 42 days on account of arrears of maintenance payable to his wife. The order</w:t>
      </w:r>
    </w:p>
    <w:p w14:paraId="0E93D8A3" w14:textId="5ABD22DE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was suspended subject to payment of £13 per week. It seems that the claimant failed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to make the required payments and he was in fact committed to prison for the period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from 29 March to 7 May 1976 pursuant to the order. He continued however to </w:t>
      </w:r>
      <w:proofErr w:type="gramStart"/>
      <w:r>
        <w:rPr>
          <w:rFonts w:ascii="Arial" w:hAnsi="Arial" w:cs="Arial"/>
          <w:kern w:val="0"/>
          <w:sz w:val="30"/>
          <w:szCs w:val="30"/>
        </w:rPr>
        <w:t>encash</w:t>
      </w:r>
      <w:proofErr w:type="gramEnd"/>
    </w:p>
    <w:p w14:paraId="163A3FE9" w14:textId="265AE3E6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the orders for the payment of invalidity benefit which were in his possession. When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the insurance officer became aware of the fact of the claimant's committal to </w:t>
      </w:r>
      <w:proofErr w:type="gramStart"/>
      <w:r>
        <w:rPr>
          <w:rFonts w:ascii="Arial" w:hAnsi="Arial" w:cs="Arial"/>
          <w:kern w:val="0"/>
          <w:sz w:val="30"/>
          <w:szCs w:val="30"/>
        </w:rPr>
        <w:t>prison</w:t>
      </w:r>
      <w:proofErr w:type="gramEnd"/>
      <w:r>
        <w:rPr>
          <w:rFonts w:ascii="Arial" w:hAnsi="Arial" w:cs="Arial"/>
          <w:kern w:val="0"/>
          <w:sz w:val="30"/>
          <w:szCs w:val="30"/>
        </w:rPr>
        <w:t xml:space="preserve"> he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decided to review the decision awarding benefit and to revise it in relation to the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period spent in prison holding that the claimant was for that period disqualified for</w:t>
      </w:r>
    </w:p>
    <w:p w14:paraId="3D54D2DA" w14:textId="37B593F3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lastRenderedPageBreak/>
        <w:t>receiving benefit under section 82(5)(b) of the Social Security Act 1975, under which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a person is disqualified for receiving benefit (subject to immaterial exceptions) for any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period during which he is undergoing imprisonment or detention in legal custody. As a</w:t>
      </w:r>
    </w:p>
    <w:p w14:paraId="460560C7" w14:textId="2F1038AE" w:rsidR="00674C13" w:rsidRDefault="00674C13" w:rsidP="0054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result of this revision there had been an overpayment of benefit, repayment of which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was required. The claimant appealed unsuccessfully to the local </w:t>
      </w:r>
      <w:proofErr w:type="gramStart"/>
      <w:r>
        <w:rPr>
          <w:rFonts w:ascii="Arial" w:hAnsi="Arial" w:cs="Arial"/>
          <w:kern w:val="0"/>
          <w:sz w:val="30"/>
          <w:szCs w:val="30"/>
        </w:rPr>
        <w:t>tribunal</w:t>
      </w:r>
      <w:proofErr w:type="gramEnd"/>
      <w:r>
        <w:rPr>
          <w:rFonts w:ascii="Arial" w:hAnsi="Arial" w:cs="Arial"/>
          <w:kern w:val="0"/>
          <w:sz w:val="30"/>
          <w:szCs w:val="30"/>
        </w:rPr>
        <w:t xml:space="preserve"> and he now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appeals to the Commissioner</w:t>
      </w:r>
    </w:p>
    <w:p w14:paraId="69C86F66" w14:textId="77777777" w:rsidR="00674C13" w:rsidRDefault="00674C13" w:rsidP="00674C13">
      <w:pPr>
        <w:rPr>
          <w:rFonts w:ascii="Arial" w:hAnsi="Arial" w:cs="Arial"/>
          <w:kern w:val="0"/>
          <w:sz w:val="30"/>
          <w:szCs w:val="30"/>
        </w:rPr>
      </w:pPr>
    </w:p>
    <w:p w14:paraId="34D414F0" w14:textId="6D1A018B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3. Section 82(5) (b) of the Social Security Act 1975 re-enacted section 49(1) (b) of the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National Insurance Act 1965 which itself re-enacted (with the modification next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mentioned) section 29 (1) (b) of the National Insurance Act 1946. This </w:t>
      </w:r>
      <w:r w:rsidR="00546E3C">
        <w:rPr>
          <w:rFonts w:ascii="Arial" w:hAnsi="Arial" w:cs="Arial"/>
          <w:kern w:val="0"/>
          <w:sz w:val="30"/>
          <w:szCs w:val="30"/>
        </w:rPr>
        <w:t xml:space="preserve">last-mentioned </w:t>
      </w:r>
      <w:r>
        <w:rPr>
          <w:rFonts w:ascii="Arial" w:hAnsi="Arial" w:cs="Arial"/>
          <w:kern w:val="0"/>
          <w:sz w:val="30"/>
          <w:szCs w:val="30"/>
        </w:rPr>
        <w:t>section referred to "penal servitude, imprisonment or detention in legal custody" but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(penal servitude having in the meanwhile been abolished by the Criminal Justice Act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1948) the two later Acts referred only to "imprisonment or detention in legal custody".</w:t>
      </w:r>
    </w:p>
    <w:p w14:paraId="4A134047" w14:textId="21D023EC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 xml:space="preserve">While the 1946 Act was in force there were </w:t>
      </w:r>
      <w:proofErr w:type="gramStart"/>
      <w:r>
        <w:rPr>
          <w:rFonts w:ascii="Arial" w:hAnsi="Arial" w:cs="Arial"/>
          <w:kern w:val="0"/>
          <w:sz w:val="30"/>
          <w:szCs w:val="30"/>
        </w:rPr>
        <w:t>a number of</w:t>
      </w:r>
      <w:proofErr w:type="gramEnd"/>
      <w:r>
        <w:rPr>
          <w:rFonts w:ascii="Arial" w:hAnsi="Arial" w:cs="Arial"/>
          <w:kern w:val="0"/>
          <w:sz w:val="30"/>
          <w:szCs w:val="30"/>
        </w:rPr>
        <w:t xml:space="preserve"> decisions of Commissioners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on the provision. In Decision R(S) 20/53 the Commissioner said at paragraph 9 (</w:t>
      </w:r>
      <w:r>
        <w:rPr>
          <w:rFonts w:ascii="Arial" w:hAnsi="Arial" w:cs="Arial"/>
          <w:i/>
          <w:iCs/>
          <w:kern w:val="0"/>
          <w:sz w:val="30"/>
          <w:szCs w:val="30"/>
        </w:rPr>
        <w:t>obiter</w:t>
      </w:r>
      <w:r w:rsidR="00546E3C">
        <w:rPr>
          <w:rFonts w:ascii="Arial" w:hAnsi="Arial" w:cs="Arial"/>
          <w:i/>
          <w:iCs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however as he dismissed the claim)</w:t>
      </w:r>
    </w:p>
    <w:p w14:paraId="71145422" w14:textId="77777777" w:rsidR="00546E3C" w:rsidRDefault="00546E3C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</w:p>
    <w:p w14:paraId="750BCD8D" w14:textId="4AE73EE5" w:rsidR="00674C13" w:rsidRDefault="00674C13" w:rsidP="00674C1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"</w:t>
      </w:r>
      <w:proofErr w:type="gramStart"/>
      <w:r>
        <w:rPr>
          <w:rFonts w:ascii="Arial" w:hAnsi="Arial" w:cs="Arial"/>
          <w:kern w:val="0"/>
          <w:sz w:val="30"/>
          <w:szCs w:val="30"/>
        </w:rPr>
        <w:t>However</w:t>
      </w:r>
      <w:proofErr w:type="gramEnd"/>
      <w:r>
        <w:rPr>
          <w:rFonts w:ascii="Arial" w:hAnsi="Arial" w:cs="Arial"/>
          <w:kern w:val="0"/>
          <w:sz w:val="30"/>
          <w:szCs w:val="30"/>
        </w:rPr>
        <w:t xml:space="preserve"> the context in which the expression "detention in legal custody" is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used in Section 29(1)(b) does indicate that it is not to bear its full meaning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since this would have included the preceding terms "penal servitude" and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"imprisonment" which would thus have been superfluous. It therefore </w:t>
      </w:r>
      <w:proofErr w:type="gramStart"/>
      <w:r>
        <w:rPr>
          <w:rFonts w:ascii="Arial" w:hAnsi="Arial" w:cs="Arial"/>
          <w:kern w:val="0"/>
          <w:sz w:val="30"/>
          <w:szCs w:val="30"/>
        </w:rPr>
        <w:t>follows</w:t>
      </w:r>
      <w:proofErr w:type="gramEnd"/>
    </w:p>
    <w:p w14:paraId="7A361770" w14:textId="5F84CDF9" w:rsidR="00674C13" w:rsidRDefault="00674C13" w:rsidP="00674C1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(as was held in Decision CS/16/48 (reported)) that the expression must be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taken to refer only to detention which has some connection with criminal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proceedings."</w:t>
      </w:r>
    </w:p>
    <w:p w14:paraId="681773C1" w14:textId="77777777" w:rsidR="00674C13" w:rsidRDefault="00674C13" w:rsidP="00674C1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kern w:val="0"/>
          <w:sz w:val="30"/>
          <w:szCs w:val="30"/>
        </w:rPr>
      </w:pPr>
    </w:p>
    <w:p w14:paraId="09DCD9E7" w14:textId="589AC396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 xml:space="preserve">I am not sure that I </w:t>
      </w:r>
      <w:proofErr w:type="gramStart"/>
      <w:r>
        <w:rPr>
          <w:rFonts w:ascii="Arial" w:hAnsi="Arial" w:cs="Arial"/>
          <w:kern w:val="0"/>
          <w:sz w:val="30"/>
          <w:szCs w:val="30"/>
        </w:rPr>
        <w:t>follow precisely</w:t>
      </w:r>
      <w:proofErr w:type="gramEnd"/>
      <w:r>
        <w:rPr>
          <w:rFonts w:ascii="Arial" w:hAnsi="Arial" w:cs="Arial"/>
          <w:kern w:val="0"/>
          <w:sz w:val="30"/>
          <w:szCs w:val="30"/>
        </w:rPr>
        <w:t xml:space="preserve"> the logic of this, but I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understand the effect of it to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be that detention in legal custody has to be construed as </w:t>
      </w:r>
      <w:r>
        <w:rPr>
          <w:rFonts w:ascii="Arial" w:hAnsi="Arial" w:cs="Arial"/>
          <w:i/>
          <w:iCs/>
          <w:kern w:val="0"/>
          <w:sz w:val="30"/>
          <w:szCs w:val="30"/>
        </w:rPr>
        <w:t xml:space="preserve">ejusdem generis </w:t>
      </w:r>
      <w:r>
        <w:rPr>
          <w:rFonts w:ascii="Arial" w:hAnsi="Arial" w:cs="Arial"/>
          <w:kern w:val="0"/>
          <w:sz w:val="30"/>
          <w:szCs w:val="30"/>
        </w:rPr>
        <w:t>with penal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servitude and imprisonment. An application to set aside this decision among others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was made to the High Court, where the proceedings are reported under the title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kern w:val="0"/>
          <w:sz w:val="30"/>
          <w:szCs w:val="30"/>
        </w:rPr>
        <w:t xml:space="preserve">Regina v National Insurance Commissioner, Ex </w:t>
      </w:r>
      <w:proofErr w:type="spellStart"/>
      <w:r>
        <w:rPr>
          <w:rFonts w:ascii="Arial" w:hAnsi="Arial" w:cs="Arial"/>
          <w:i/>
          <w:iCs/>
          <w:kern w:val="0"/>
          <w:sz w:val="30"/>
          <w:szCs w:val="30"/>
        </w:rPr>
        <w:t>parte</w:t>
      </w:r>
      <w:proofErr w:type="spellEnd"/>
      <w:r>
        <w:rPr>
          <w:rFonts w:ascii="Arial" w:hAnsi="Arial" w:cs="Arial"/>
          <w:i/>
          <w:iCs/>
          <w:kern w:val="0"/>
          <w:sz w:val="30"/>
          <w:szCs w:val="30"/>
        </w:rPr>
        <w:t xml:space="preserve"> Timmis </w:t>
      </w:r>
      <w:r>
        <w:rPr>
          <w:rFonts w:ascii="Arial" w:hAnsi="Arial" w:cs="Arial"/>
          <w:kern w:val="0"/>
          <w:sz w:val="30"/>
          <w:szCs w:val="30"/>
        </w:rPr>
        <w:t>[1955] 1 QB 139. On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this application Lord Goddard CJ suggested (at page 149) an alternative test, viz.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whether </w:t>
      </w:r>
      <w:r>
        <w:rPr>
          <w:rFonts w:ascii="Arial" w:hAnsi="Arial" w:cs="Arial"/>
          <w:i/>
          <w:iCs/>
          <w:kern w:val="0"/>
          <w:sz w:val="30"/>
          <w:szCs w:val="30"/>
        </w:rPr>
        <w:t xml:space="preserve">habeas </w:t>
      </w:r>
      <w:r>
        <w:rPr>
          <w:rFonts w:ascii="Arial" w:hAnsi="Arial" w:cs="Arial"/>
          <w:i/>
          <w:iCs/>
          <w:kern w:val="0"/>
          <w:sz w:val="30"/>
          <w:szCs w:val="30"/>
        </w:rPr>
        <w:lastRenderedPageBreak/>
        <w:t xml:space="preserve">corpus </w:t>
      </w:r>
      <w:r>
        <w:rPr>
          <w:rFonts w:ascii="Arial" w:hAnsi="Arial" w:cs="Arial"/>
          <w:kern w:val="0"/>
          <w:sz w:val="30"/>
          <w:szCs w:val="30"/>
        </w:rPr>
        <w:t>would lie. The application was dismissed, but it was</w:t>
      </w:r>
      <w:r w:rsidR="000C4F32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specifically left open whether the section would apply to a summary reception order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which had nothing to do with a criminal offence. The question whether the </w:t>
      </w:r>
      <w:r>
        <w:rPr>
          <w:rFonts w:ascii="Arial" w:hAnsi="Arial" w:cs="Arial"/>
          <w:i/>
          <w:iCs/>
          <w:kern w:val="0"/>
          <w:sz w:val="30"/>
          <w:szCs w:val="30"/>
        </w:rPr>
        <w:t>habeas</w:t>
      </w:r>
      <w:r w:rsidR="00546E3C">
        <w:rPr>
          <w:rFonts w:ascii="Arial" w:hAnsi="Arial" w:cs="Arial"/>
          <w:i/>
          <w:iCs/>
          <w:kern w:val="0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kern w:val="0"/>
          <w:sz w:val="30"/>
          <w:szCs w:val="30"/>
        </w:rPr>
        <w:t xml:space="preserve">corpus </w:t>
      </w:r>
      <w:r>
        <w:rPr>
          <w:rFonts w:ascii="Arial" w:hAnsi="Arial" w:cs="Arial"/>
          <w:kern w:val="0"/>
          <w:sz w:val="30"/>
          <w:szCs w:val="30"/>
        </w:rPr>
        <w:t>test was the right test was thus left open</w:t>
      </w:r>
      <w:r w:rsidR="0030152F">
        <w:rPr>
          <w:rFonts w:ascii="Arial" w:hAnsi="Arial" w:cs="Arial"/>
          <w:kern w:val="0"/>
          <w:sz w:val="30"/>
          <w:szCs w:val="30"/>
        </w:rPr>
        <w:t>.</w:t>
      </w:r>
    </w:p>
    <w:p w14:paraId="1D35398F" w14:textId="510BB73B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</w:p>
    <w:p w14:paraId="53C864EA" w14:textId="68488BF6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4. The point then came before a Tribunal of Commissioners in the case which was the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subject of Decision R(S) 3/55, in which the Tribunal accepted the reasoning in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Decision R(S) 20/53 and laid down that detention under an order which is not made in</w:t>
      </w:r>
    </w:p>
    <w:p w14:paraId="0AAE5D83" w14:textId="38CFE2E8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criminal proceedings or grounded on any criminal act was not detention in legal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custody within the meaning of section 29(1) (b). They seemingly rejected the </w:t>
      </w:r>
      <w:r>
        <w:rPr>
          <w:rFonts w:ascii="Arial" w:hAnsi="Arial" w:cs="Arial"/>
          <w:i/>
          <w:iCs/>
          <w:kern w:val="0"/>
          <w:sz w:val="30"/>
          <w:szCs w:val="30"/>
        </w:rPr>
        <w:t>habeas</w:t>
      </w:r>
      <w:r w:rsidR="00546E3C">
        <w:rPr>
          <w:rFonts w:ascii="Arial" w:hAnsi="Arial" w:cs="Arial"/>
          <w:i/>
          <w:iCs/>
          <w:kern w:val="0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kern w:val="0"/>
          <w:sz w:val="30"/>
          <w:szCs w:val="30"/>
        </w:rPr>
        <w:t xml:space="preserve">corpus </w:t>
      </w:r>
      <w:r>
        <w:rPr>
          <w:rFonts w:ascii="Arial" w:hAnsi="Arial" w:cs="Arial"/>
          <w:kern w:val="0"/>
          <w:sz w:val="30"/>
          <w:szCs w:val="30"/>
        </w:rPr>
        <w:t>test, preferring a test whether the detention had anything to do with a criminal</w:t>
      </w:r>
      <w:r w:rsidR="00E31CC2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offence.</w:t>
      </w:r>
    </w:p>
    <w:p w14:paraId="33DC57A1" w14:textId="77777777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</w:p>
    <w:p w14:paraId="747D4B54" w14:textId="506337B1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 xml:space="preserve">5. More recently the point came before a Tribunal </w:t>
      </w:r>
      <w:r w:rsidR="00E31CC2">
        <w:rPr>
          <w:rFonts w:ascii="Arial" w:hAnsi="Arial" w:cs="Arial"/>
          <w:kern w:val="0"/>
          <w:sz w:val="30"/>
          <w:szCs w:val="30"/>
        </w:rPr>
        <w:t>of Commissioners</w:t>
      </w:r>
      <w:r>
        <w:rPr>
          <w:rFonts w:ascii="Arial" w:hAnsi="Arial" w:cs="Arial"/>
          <w:kern w:val="0"/>
          <w:sz w:val="30"/>
          <w:szCs w:val="30"/>
        </w:rPr>
        <w:t xml:space="preserve"> in Northern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Ireland in connection with internment there under special powers and the tribunal in a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decision (to be reported as R 1/76(P)) followed and applied R(S) 3/55 expressly</w:t>
      </w:r>
    </w:p>
    <w:p w14:paraId="772071A4" w14:textId="6DF188D1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 xml:space="preserve">basing their reasoning on the </w:t>
      </w:r>
      <w:r>
        <w:rPr>
          <w:rFonts w:ascii="Arial" w:hAnsi="Arial" w:cs="Arial"/>
          <w:i/>
          <w:iCs/>
          <w:kern w:val="0"/>
          <w:sz w:val="30"/>
          <w:szCs w:val="30"/>
        </w:rPr>
        <w:t xml:space="preserve">ejusdem generis </w:t>
      </w:r>
      <w:r>
        <w:rPr>
          <w:rFonts w:ascii="Arial" w:hAnsi="Arial" w:cs="Arial"/>
          <w:kern w:val="0"/>
          <w:sz w:val="30"/>
          <w:szCs w:val="30"/>
        </w:rPr>
        <w:t>rule and indicating that the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interpretation of the corresponding Northern Irish section was not affected by the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omission from the more recent Acts of the phrase "penal servitude". This decision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was affirmed by the High Court in Northern Ireland under the title </w:t>
      </w:r>
      <w:r>
        <w:rPr>
          <w:rFonts w:ascii="Arial" w:hAnsi="Arial" w:cs="Arial"/>
          <w:i/>
          <w:iCs/>
          <w:kern w:val="0"/>
          <w:sz w:val="30"/>
          <w:szCs w:val="30"/>
        </w:rPr>
        <w:t xml:space="preserve">Regina (O'Neill) </w:t>
      </w:r>
      <w:proofErr w:type="gramStart"/>
      <w:r>
        <w:rPr>
          <w:rFonts w:ascii="Arial" w:hAnsi="Arial" w:cs="Arial"/>
          <w:i/>
          <w:iCs/>
          <w:kern w:val="0"/>
          <w:sz w:val="30"/>
          <w:szCs w:val="30"/>
        </w:rPr>
        <w:t>v</w:t>
      </w:r>
      <w:proofErr w:type="gramEnd"/>
    </w:p>
    <w:p w14:paraId="05870461" w14:textId="28F92608" w:rsidR="00674C13" w:rsidRDefault="00674C13" w:rsidP="00674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i/>
          <w:iCs/>
          <w:kern w:val="0"/>
          <w:sz w:val="30"/>
          <w:szCs w:val="30"/>
        </w:rPr>
        <w:t xml:space="preserve">National Insurance Commissioners </w:t>
      </w:r>
      <w:r>
        <w:rPr>
          <w:rFonts w:ascii="Arial" w:hAnsi="Arial" w:cs="Arial"/>
          <w:kern w:val="0"/>
          <w:sz w:val="30"/>
          <w:szCs w:val="30"/>
        </w:rPr>
        <w:t>[1974] NI 76. I consider that I am bound by these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decisions to hold that a person is not disqualified under section 82(5)(b) of the Social</w:t>
      </w:r>
      <w:r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Security Act 1975 by reason of undergoing detention in legal custody which </w:t>
      </w:r>
      <w:proofErr w:type="gramStart"/>
      <w:r>
        <w:rPr>
          <w:rFonts w:ascii="Arial" w:hAnsi="Arial" w:cs="Arial"/>
          <w:kern w:val="0"/>
          <w:sz w:val="30"/>
          <w:szCs w:val="30"/>
        </w:rPr>
        <w:t>has</w:t>
      </w:r>
      <w:proofErr w:type="gramEnd"/>
    </w:p>
    <w:p w14:paraId="7BD6B793" w14:textId="1A120AD5" w:rsidR="00674C13" w:rsidRDefault="00674C13" w:rsidP="0054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nothing to do with a criminal offence. I have still to determine whether (contrary to the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submission of the insurance officer now concerned) the disqualification extends to the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undergoing of imprisonment that has nothing to do with a criminal offence </w:t>
      </w:r>
      <w:proofErr w:type="gramStart"/>
      <w:r>
        <w:rPr>
          <w:rFonts w:ascii="Arial" w:hAnsi="Arial" w:cs="Arial"/>
          <w:kern w:val="0"/>
          <w:sz w:val="30"/>
          <w:szCs w:val="30"/>
        </w:rPr>
        <w:t>and also</w:t>
      </w:r>
      <w:proofErr w:type="gramEnd"/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whether the committal of the claimant in this case, if it amounted to imprisonment, had</w:t>
      </w:r>
      <w:r w:rsidR="00546E3C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anything to do with a criminal offence. I take this second question </w:t>
      </w:r>
      <w:proofErr w:type="gramStart"/>
      <w:r>
        <w:rPr>
          <w:rFonts w:ascii="Arial" w:hAnsi="Arial" w:cs="Arial"/>
          <w:kern w:val="0"/>
          <w:sz w:val="30"/>
          <w:szCs w:val="30"/>
        </w:rPr>
        <w:t>first</w:t>
      </w:r>
      <w:proofErr w:type="gramEnd"/>
    </w:p>
    <w:p w14:paraId="265D9ECA" w14:textId="77777777" w:rsidR="00546E3C" w:rsidRDefault="00546E3C" w:rsidP="00674C13">
      <w:pPr>
        <w:rPr>
          <w:rFonts w:ascii="Arial" w:hAnsi="Arial" w:cs="Arial"/>
          <w:kern w:val="0"/>
          <w:sz w:val="30"/>
          <w:szCs w:val="30"/>
        </w:rPr>
      </w:pPr>
    </w:p>
    <w:p w14:paraId="0CC97C2F" w14:textId="56508DE3" w:rsidR="00546E3C" w:rsidRDefault="00546E3C" w:rsidP="0054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 xml:space="preserve">6. The claimant was committed to prison by a magistrates' order made under </w:t>
      </w:r>
      <w:r>
        <w:rPr>
          <w:rFonts w:ascii="Arial" w:hAnsi="Arial" w:cs="Arial"/>
          <w:kern w:val="0"/>
          <w:sz w:val="30"/>
          <w:szCs w:val="30"/>
        </w:rPr>
        <w:t xml:space="preserve">section </w:t>
      </w:r>
      <w:r>
        <w:rPr>
          <w:rFonts w:ascii="Arial" w:hAnsi="Arial" w:cs="Arial"/>
          <w:kern w:val="0"/>
          <w:sz w:val="30"/>
          <w:szCs w:val="30"/>
        </w:rPr>
        <w:t xml:space="preserve">64 of the Magistrates' Courts Act 1952 by </w:t>
      </w:r>
      <w:r>
        <w:rPr>
          <w:rFonts w:ascii="Arial" w:hAnsi="Arial" w:cs="Arial"/>
          <w:kern w:val="0"/>
          <w:sz w:val="30"/>
          <w:szCs w:val="30"/>
        </w:rPr>
        <w:lastRenderedPageBreak/>
        <w:t>reason of the breach of an earlier order of</w:t>
      </w:r>
      <w:r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magistrates that he pay maintenance for his wife. Under section 67 of the 1952 Act he</w:t>
      </w:r>
    </w:p>
    <w:p w14:paraId="2F6B4772" w14:textId="5FFAC20D" w:rsidR="00546E3C" w:rsidRDefault="00546E3C" w:rsidP="0054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was entitled to be released on payment of the amount due and costs. In my judgment</w:t>
      </w:r>
      <w:r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he was, while so in prison, undergoing imprisonment.</w:t>
      </w:r>
    </w:p>
    <w:p w14:paraId="5DEF4816" w14:textId="77777777" w:rsidR="00546E3C" w:rsidRDefault="00546E3C" w:rsidP="0054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</w:p>
    <w:p w14:paraId="442CE530" w14:textId="4E0613C9" w:rsidR="00546E3C" w:rsidRDefault="00546E3C" w:rsidP="0054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7. In substance he was in prison by reason of his disobedience of a Court order, a</w:t>
      </w:r>
      <w:r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form of contempt of Court. There is a clearly recognised distinction between civil and</w:t>
      </w:r>
      <w:r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criminal contempt of court (see Halsbury's Laws of England (4th Ed.) Vol. 9 page 3),</w:t>
      </w:r>
    </w:p>
    <w:p w14:paraId="0A007A14" w14:textId="039903C1" w:rsidR="00546E3C" w:rsidRDefault="00546E3C" w:rsidP="0054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and disobedience of a court order is there included (at page 33) among the civil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kern w:val="0"/>
          <w:sz w:val="30"/>
          <w:szCs w:val="30"/>
        </w:rPr>
        <w:t>contempts</w:t>
      </w:r>
      <w:proofErr w:type="spellEnd"/>
      <w:r>
        <w:rPr>
          <w:rFonts w:ascii="Arial" w:hAnsi="Arial" w:cs="Arial"/>
          <w:kern w:val="0"/>
          <w:sz w:val="30"/>
          <w:szCs w:val="30"/>
        </w:rPr>
        <w:t>, though it is recognised (at page 52) that there may be some distinction in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the case of disobedience of orders of a magistrates' court. After some difference of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judicial opinion, it was settled by the House of Lords (reversing a majority decision of</w:t>
      </w:r>
    </w:p>
    <w:p w14:paraId="3F3A2AC4" w14:textId="6C50DAFA" w:rsidR="00546E3C" w:rsidRDefault="00546E3C" w:rsidP="0054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 xml:space="preserve">the Court of Appeal) in </w:t>
      </w:r>
      <w:r>
        <w:rPr>
          <w:rFonts w:ascii="Arial" w:hAnsi="Arial" w:cs="Arial"/>
          <w:i/>
          <w:iCs/>
          <w:kern w:val="0"/>
          <w:sz w:val="30"/>
          <w:szCs w:val="30"/>
        </w:rPr>
        <w:t xml:space="preserve">Scott v Scott </w:t>
      </w:r>
      <w:r>
        <w:rPr>
          <w:rFonts w:ascii="Arial" w:hAnsi="Arial" w:cs="Arial"/>
          <w:kern w:val="0"/>
          <w:sz w:val="30"/>
          <w:szCs w:val="30"/>
        </w:rPr>
        <w:t xml:space="preserve">[1913] AC 417 </w:t>
      </w:r>
      <w:proofErr w:type="gramStart"/>
      <w:r>
        <w:rPr>
          <w:rFonts w:ascii="Arial" w:hAnsi="Arial" w:cs="Arial"/>
          <w:kern w:val="0"/>
          <w:sz w:val="30"/>
          <w:szCs w:val="30"/>
        </w:rPr>
        <w:t xml:space="preserve">that </w:t>
      </w:r>
      <w:r w:rsidR="00B01AC6">
        <w:rPr>
          <w:rFonts w:ascii="Arial" w:hAnsi="Arial" w:cs="Arial"/>
          <w:kern w:val="0"/>
          <w:sz w:val="30"/>
          <w:szCs w:val="30"/>
        </w:rPr>
        <w:t xml:space="preserve"> p</w:t>
      </w:r>
      <w:r>
        <w:rPr>
          <w:rFonts w:ascii="Arial" w:hAnsi="Arial" w:cs="Arial"/>
          <w:kern w:val="0"/>
          <w:sz w:val="30"/>
          <w:szCs w:val="30"/>
        </w:rPr>
        <w:t>roceedings</w:t>
      </w:r>
      <w:proofErr w:type="gramEnd"/>
      <w:r>
        <w:rPr>
          <w:rFonts w:ascii="Arial" w:hAnsi="Arial" w:cs="Arial"/>
          <w:kern w:val="0"/>
          <w:sz w:val="30"/>
          <w:szCs w:val="30"/>
        </w:rPr>
        <w:t xml:space="preserve"> for contempt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consisting in the breach of an order of the High Court were not a criminal cause or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matter. I refer </w:t>
      </w:r>
      <w:proofErr w:type="gramStart"/>
      <w:r>
        <w:rPr>
          <w:rFonts w:ascii="Arial" w:hAnsi="Arial" w:cs="Arial"/>
          <w:kern w:val="0"/>
          <w:sz w:val="30"/>
          <w:szCs w:val="30"/>
        </w:rPr>
        <w:t>in particular to</w:t>
      </w:r>
      <w:proofErr w:type="gramEnd"/>
      <w:r>
        <w:rPr>
          <w:rFonts w:ascii="Arial" w:hAnsi="Arial" w:cs="Arial"/>
          <w:kern w:val="0"/>
          <w:sz w:val="30"/>
          <w:szCs w:val="30"/>
        </w:rPr>
        <w:t xml:space="preserve"> the speech of Lord Atkinson at pages 454 to 467 and to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the dissenting judgement of Fletcher Moulton LJ (as he then was) in the Court of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Appeal ([1912] P 241 at page 268) which was expressly approved by Lord Atkinson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([1913] AC at page 462). I think it is clear from Lord Atkinson's speech at the page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last mentioned that the same applies to justices' orders made in civil suits. I </w:t>
      </w:r>
      <w:proofErr w:type="gramStart"/>
      <w:r>
        <w:rPr>
          <w:rFonts w:ascii="Arial" w:hAnsi="Arial" w:cs="Arial"/>
          <w:kern w:val="0"/>
          <w:sz w:val="30"/>
          <w:szCs w:val="30"/>
        </w:rPr>
        <w:t>find</w:t>
      </w:r>
      <w:proofErr w:type="gramEnd"/>
    </w:p>
    <w:p w14:paraId="358775E0" w14:textId="77777777" w:rsidR="00546E3C" w:rsidRDefault="00546E3C" w:rsidP="0054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proofErr w:type="gramStart"/>
      <w:r>
        <w:rPr>
          <w:rFonts w:ascii="Arial" w:hAnsi="Arial" w:cs="Arial"/>
          <w:kern w:val="0"/>
          <w:sz w:val="30"/>
          <w:szCs w:val="30"/>
        </w:rPr>
        <w:t>therefore</w:t>
      </w:r>
      <w:proofErr w:type="gramEnd"/>
      <w:r>
        <w:rPr>
          <w:rFonts w:ascii="Arial" w:hAnsi="Arial" w:cs="Arial"/>
          <w:kern w:val="0"/>
          <w:sz w:val="30"/>
          <w:szCs w:val="30"/>
        </w:rPr>
        <w:t xml:space="preserve"> that the claimant's imprisonment had nothing to do with a criminal offence.</w:t>
      </w:r>
    </w:p>
    <w:p w14:paraId="5A3488EC" w14:textId="77777777" w:rsidR="00B01AC6" w:rsidRDefault="00B01AC6" w:rsidP="0054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</w:p>
    <w:p w14:paraId="7BF72337" w14:textId="22F1C90A" w:rsidR="00546E3C" w:rsidRDefault="00546E3C" w:rsidP="0054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8. The insurance officer now concerned criticises the reasoning of the Tribunal of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Commissioners and of the High Court in Northern Ireland (following that of the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Tribunal of Commissioners in R(S) 3/55) on the ground that it is based on the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fallacious premise that imprisonment could only be imposed by judgment of a criminal</w:t>
      </w:r>
    </w:p>
    <w:p w14:paraId="02D4D4F6" w14:textId="3CFD1E6B" w:rsidR="00546E3C" w:rsidRDefault="00546E3C" w:rsidP="0054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court in accordance with criminal law. He suggests in effect that the proper test to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apply is the </w:t>
      </w:r>
      <w:r>
        <w:rPr>
          <w:rFonts w:ascii="Arial" w:hAnsi="Arial" w:cs="Arial"/>
          <w:i/>
          <w:iCs/>
          <w:kern w:val="0"/>
          <w:sz w:val="30"/>
          <w:szCs w:val="30"/>
        </w:rPr>
        <w:t xml:space="preserve">habeas corpus </w:t>
      </w:r>
      <w:r>
        <w:rPr>
          <w:rFonts w:ascii="Arial" w:hAnsi="Arial" w:cs="Arial"/>
          <w:kern w:val="0"/>
          <w:sz w:val="30"/>
          <w:szCs w:val="30"/>
        </w:rPr>
        <w:t>test. If this were the first case in which the point had to be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decided I should, I think, have accepted the </w:t>
      </w:r>
      <w:r>
        <w:rPr>
          <w:rFonts w:ascii="Arial" w:hAnsi="Arial" w:cs="Arial"/>
          <w:i/>
          <w:iCs/>
          <w:kern w:val="0"/>
          <w:sz w:val="30"/>
          <w:szCs w:val="30"/>
        </w:rPr>
        <w:t xml:space="preserve">habeas corpus </w:t>
      </w:r>
      <w:r>
        <w:rPr>
          <w:rFonts w:ascii="Arial" w:hAnsi="Arial" w:cs="Arial"/>
          <w:kern w:val="0"/>
          <w:sz w:val="30"/>
          <w:szCs w:val="30"/>
        </w:rPr>
        <w:t>test, which seems to me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to accord better with the natural meaning of the words used. But I do not think that it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is open to me to do so. The insurance officer would not ask me to depart from the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previous decisions if this had been a case of </w:t>
      </w:r>
      <w:r>
        <w:rPr>
          <w:rFonts w:ascii="Arial" w:hAnsi="Arial" w:cs="Arial"/>
          <w:kern w:val="0"/>
          <w:sz w:val="30"/>
          <w:szCs w:val="30"/>
        </w:rPr>
        <w:lastRenderedPageBreak/>
        <w:t>detention in legal custody not amounting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to imprisonment. As however this is a case of </w:t>
      </w:r>
      <w:proofErr w:type="gramStart"/>
      <w:r>
        <w:rPr>
          <w:rFonts w:ascii="Arial" w:hAnsi="Arial" w:cs="Arial"/>
          <w:kern w:val="0"/>
          <w:sz w:val="30"/>
          <w:szCs w:val="30"/>
        </w:rPr>
        <w:t>imprisonment</w:t>
      </w:r>
      <w:proofErr w:type="gramEnd"/>
      <w:r>
        <w:rPr>
          <w:rFonts w:ascii="Arial" w:hAnsi="Arial" w:cs="Arial"/>
          <w:kern w:val="0"/>
          <w:sz w:val="30"/>
          <w:szCs w:val="30"/>
        </w:rPr>
        <w:t xml:space="preserve"> he suggests that it is</w:t>
      </w:r>
    </w:p>
    <w:p w14:paraId="7BCEF7EC" w14:textId="15F88822" w:rsidR="00546E3C" w:rsidRDefault="00546E3C" w:rsidP="00B0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 xml:space="preserve">open to me to distinguish the cases above mentioned. In other </w:t>
      </w:r>
      <w:proofErr w:type="gramStart"/>
      <w:r>
        <w:rPr>
          <w:rFonts w:ascii="Arial" w:hAnsi="Arial" w:cs="Arial"/>
          <w:kern w:val="0"/>
          <w:sz w:val="30"/>
          <w:szCs w:val="30"/>
        </w:rPr>
        <w:t>words</w:t>
      </w:r>
      <w:proofErr w:type="gramEnd"/>
      <w:r>
        <w:rPr>
          <w:rFonts w:ascii="Arial" w:hAnsi="Arial" w:cs="Arial"/>
          <w:kern w:val="0"/>
          <w:sz w:val="30"/>
          <w:szCs w:val="30"/>
        </w:rPr>
        <w:t xml:space="preserve"> he invites me to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apply the </w:t>
      </w:r>
      <w:r>
        <w:rPr>
          <w:rFonts w:ascii="Arial" w:hAnsi="Arial" w:cs="Arial"/>
          <w:i/>
          <w:iCs/>
          <w:kern w:val="0"/>
          <w:sz w:val="30"/>
          <w:szCs w:val="30"/>
        </w:rPr>
        <w:t xml:space="preserve">habeas corpus </w:t>
      </w:r>
      <w:r>
        <w:rPr>
          <w:rFonts w:ascii="Arial" w:hAnsi="Arial" w:cs="Arial"/>
          <w:kern w:val="0"/>
          <w:sz w:val="30"/>
          <w:szCs w:val="30"/>
        </w:rPr>
        <w:t>test to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imprisonment while leaving the criminal offence test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applicable to detention in legal custody. I do not think that I should do this. If I did, I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should </w:t>
      </w:r>
      <w:proofErr w:type="gramStart"/>
      <w:r>
        <w:rPr>
          <w:rFonts w:ascii="Arial" w:hAnsi="Arial" w:cs="Arial"/>
          <w:kern w:val="0"/>
          <w:sz w:val="30"/>
          <w:szCs w:val="30"/>
        </w:rPr>
        <w:t>open up</w:t>
      </w:r>
      <w:proofErr w:type="gramEnd"/>
      <w:r>
        <w:rPr>
          <w:rFonts w:ascii="Arial" w:hAnsi="Arial" w:cs="Arial"/>
          <w:kern w:val="0"/>
          <w:sz w:val="30"/>
          <w:szCs w:val="30"/>
        </w:rPr>
        <w:t xml:space="preserve"> a distinction between various kinds of detention, which might depend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on the description of the detention fortuitously used in Acts of Parliament draft</w:t>
      </w:r>
      <w:r>
        <w:rPr>
          <w:rFonts w:ascii="Arial" w:hAnsi="Arial" w:cs="Arial"/>
          <w:kern w:val="0"/>
          <w:sz w:val="30"/>
          <w:szCs w:val="30"/>
        </w:rPr>
        <w:t xml:space="preserve">ed </w:t>
      </w:r>
      <w:r>
        <w:rPr>
          <w:rFonts w:ascii="Arial" w:hAnsi="Arial" w:cs="Arial"/>
          <w:kern w:val="0"/>
          <w:sz w:val="30"/>
          <w:szCs w:val="30"/>
        </w:rPr>
        <w:t>without the present question being in mind at all. In any case I think that the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distinction suggested is inadmissible. The decisions that I am following are all based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on the proposition that imprisonment in the section means only imprisonment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imposed by a court exercising criminal jurisdiction, and I think that I am bound to</w:t>
      </w:r>
      <w:r w:rsidR="00B01AC6"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 xml:space="preserve">accept that conclusion </w:t>
      </w:r>
      <w:proofErr w:type="gramStart"/>
      <w:r>
        <w:rPr>
          <w:rFonts w:ascii="Arial" w:hAnsi="Arial" w:cs="Arial"/>
          <w:kern w:val="0"/>
          <w:sz w:val="30"/>
          <w:szCs w:val="30"/>
        </w:rPr>
        <w:t>inasmuch as</w:t>
      </w:r>
      <w:proofErr w:type="gramEnd"/>
      <w:r>
        <w:rPr>
          <w:rFonts w:ascii="Arial" w:hAnsi="Arial" w:cs="Arial"/>
          <w:kern w:val="0"/>
          <w:sz w:val="30"/>
          <w:szCs w:val="30"/>
        </w:rPr>
        <w:t xml:space="preserve"> it was reached by a Tribunal of Commissioners</w:t>
      </w:r>
    </w:p>
    <w:p w14:paraId="49FF75CC" w14:textId="77777777" w:rsidR="00B01AC6" w:rsidRDefault="00B01AC6" w:rsidP="00B0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</w:p>
    <w:p w14:paraId="5987A717" w14:textId="1D64147D" w:rsidR="00546E3C" w:rsidRDefault="00546E3C" w:rsidP="0054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9. Accordingly although I consider that it was proper to review the decision awarding</w:t>
      </w:r>
      <w:r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invalidity benefit to the claimant in the light of his subsequent imprisonment the</w:t>
      </w:r>
      <w:r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decision does not fall to be revised and there has been no overpayment. The</w:t>
      </w:r>
      <w:r>
        <w:rPr>
          <w:rFonts w:ascii="Arial" w:hAnsi="Arial" w:cs="Arial"/>
          <w:kern w:val="0"/>
          <w:sz w:val="30"/>
          <w:szCs w:val="30"/>
        </w:rPr>
        <w:t xml:space="preserve"> </w:t>
      </w:r>
      <w:r>
        <w:rPr>
          <w:rFonts w:ascii="Arial" w:hAnsi="Arial" w:cs="Arial"/>
          <w:kern w:val="0"/>
          <w:sz w:val="30"/>
          <w:szCs w:val="30"/>
        </w:rPr>
        <w:t>claimant's appeal is allowed accordingly.</w:t>
      </w:r>
    </w:p>
    <w:p w14:paraId="482BB419" w14:textId="77777777" w:rsidR="00546E3C" w:rsidRDefault="00546E3C" w:rsidP="0054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0"/>
          <w:szCs w:val="30"/>
        </w:rPr>
      </w:pPr>
    </w:p>
    <w:p w14:paraId="44220C2D" w14:textId="77777777" w:rsidR="00546E3C" w:rsidRDefault="00546E3C" w:rsidP="00546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>(Signed) J G Monroe</w:t>
      </w:r>
    </w:p>
    <w:p w14:paraId="33BEF1A9" w14:textId="6939E69F" w:rsidR="00546E3C" w:rsidRPr="00674C13" w:rsidRDefault="00546E3C" w:rsidP="00546E3C">
      <w:r>
        <w:rPr>
          <w:rFonts w:ascii="Times New Roman" w:hAnsi="Times New Roman" w:cs="Times New Roman"/>
          <w:kern w:val="0"/>
          <w:sz w:val="30"/>
          <w:szCs w:val="30"/>
        </w:rPr>
        <w:t>Commissioner</w:t>
      </w:r>
    </w:p>
    <w:sectPr w:rsidR="00546E3C" w:rsidRPr="00674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3F1B" w14:textId="77777777" w:rsidR="00415996" w:rsidRDefault="00415996" w:rsidP="00674C13">
      <w:pPr>
        <w:spacing w:after="0" w:line="240" w:lineRule="auto"/>
      </w:pPr>
      <w:r>
        <w:separator/>
      </w:r>
    </w:p>
  </w:endnote>
  <w:endnote w:type="continuationSeparator" w:id="0">
    <w:p w14:paraId="73E27B56" w14:textId="77777777" w:rsidR="00415996" w:rsidRDefault="00415996" w:rsidP="0067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F7BB" w14:textId="77777777" w:rsidR="00415996" w:rsidRDefault="00415996" w:rsidP="00674C13">
      <w:pPr>
        <w:spacing w:after="0" w:line="240" w:lineRule="auto"/>
      </w:pPr>
      <w:r>
        <w:separator/>
      </w:r>
    </w:p>
  </w:footnote>
  <w:footnote w:type="continuationSeparator" w:id="0">
    <w:p w14:paraId="0175388C" w14:textId="77777777" w:rsidR="00415996" w:rsidRDefault="00415996" w:rsidP="00674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A248F"/>
    <w:multiLevelType w:val="hybridMultilevel"/>
    <w:tmpl w:val="565ED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5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13"/>
    <w:rsid w:val="000B6A66"/>
    <w:rsid w:val="000C4F32"/>
    <w:rsid w:val="0030152F"/>
    <w:rsid w:val="00415996"/>
    <w:rsid w:val="00546E3C"/>
    <w:rsid w:val="00674C13"/>
    <w:rsid w:val="008319C0"/>
    <w:rsid w:val="00B01AC6"/>
    <w:rsid w:val="00C45ECE"/>
    <w:rsid w:val="00CF73D5"/>
    <w:rsid w:val="00E3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9659"/>
  <w15:chartTrackingRefBased/>
  <w15:docId w15:val="{BD0B7289-59F2-480A-A899-FA2392AD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C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C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C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C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C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C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C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C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C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C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C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C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C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C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C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C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C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4C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C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4C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4C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4C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4C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4C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C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C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4C1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7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13"/>
  </w:style>
  <w:style w:type="paragraph" w:styleId="Footer">
    <w:name w:val="footer"/>
    <w:basedOn w:val="Normal"/>
    <w:link w:val="FooterChar"/>
    <w:uiPriority w:val="99"/>
    <w:unhideWhenUsed/>
    <w:rsid w:val="0067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Stainsby</dc:creator>
  <cp:keywords/>
  <dc:description/>
  <cp:lastModifiedBy>Derek Stainsby</cp:lastModifiedBy>
  <cp:revision>5</cp:revision>
  <dcterms:created xsi:type="dcterms:W3CDTF">2024-03-20T16:51:00Z</dcterms:created>
  <dcterms:modified xsi:type="dcterms:W3CDTF">2024-03-20T17:19:00Z</dcterms:modified>
</cp:coreProperties>
</file>