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526"/>
        <w:gridCol w:w="3092"/>
        <w:gridCol w:w="3145"/>
        <w:gridCol w:w="2018"/>
      </w:tblGrid>
      <w:tr w:rsidR="00A6556F" w:rsidRPr="00950139" w14:paraId="089A533F" w14:textId="77777777" w:rsidTr="00D2330E">
        <w:tc>
          <w:tcPr>
            <w:tcW w:w="4618" w:type="dxa"/>
            <w:gridSpan w:val="2"/>
          </w:tcPr>
          <w:p w14:paraId="089A533D" w14:textId="77777777" w:rsidR="00A6556F" w:rsidRPr="00950139" w:rsidRDefault="009B14B4" w:rsidP="00A6556F">
            <w:pPr>
              <w:spacing w:after="0" w:line="240" w:lineRule="auto"/>
              <w:rPr>
                <w:rFonts w:ascii="Arial" w:eastAsia="Times New Roman" w:hAnsi="Arial" w:cs="Arial"/>
                <w:sz w:val="24"/>
                <w:szCs w:val="24"/>
                <w:lang w:eastAsia="ja-JP"/>
              </w:rPr>
            </w:pPr>
            <w:r>
              <w:rPr>
                <w:rFonts w:ascii="Arial" w:eastAsia="Times New Roman" w:hAnsi="Arial" w:cs="Arial"/>
                <w:sz w:val="24"/>
                <w:szCs w:val="24"/>
                <w:lang w:eastAsia="ja-JP"/>
              </w:rPr>
              <w:t>In The First Tier Tribunal (Social Entitlement Chamber)</w:t>
            </w:r>
          </w:p>
        </w:tc>
        <w:tc>
          <w:tcPr>
            <w:tcW w:w="5163" w:type="dxa"/>
            <w:gridSpan w:val="2"/>
          </w:tcPr>
          <w:p w14:paraId="089A533E" w14:textId="7BA6A468" w:rsidR="00A6556F" w:rsidRPr="00950139" w:rsidRDefault="00A6556F" w:rsidP="00A6556F">
            <w:pPr>
              <w:spacing w:after="0" w:line="240" w:lineRule="auto"/>
              <w:jc w:val="right"/>
              <w:rPr>
                <w:rFonts w:ascii="Arial" w:eastAsia="Times New Roman" w:hAnsi="Arial" w:cs="Arial"/>
                <w:sz w:val="24"/>
                <w:szCs w:val="24"/>
                <w:lang w:eastAsia="ja-JP"/>
              </w:rPr>
            </w:pPr>
            <w:r w:rsidRPr="00950139">
              <w:rPr>
                <w:rFonts w:ascii="Arial" w:eastAsia="Times New Roman" w:hAnsi="Arial" w:cs="Arial"/>
                <w:sz w:val="24"/>
                <w:szCs w:val="24"/>
                <w:lang w:eastAsia="ja-JP"/>
              </w:rPr>
              <w:t>Case No:</w:t>
            </w:r>
            <w:r w:rsidRPr="00950139">
              <w:rPr>
                <w:rFonts w:ascii="Arial" w:eastAsia="Times New Roman" w:hAnsi="Arial" w:cs="Arial"/>
                <w:sz w:val="24"/>
                <w:szCs w:val="24"/>
              </w:rPr>
              <w:t xml:space="preserve"> </w:t>
            </w:r>
          </w:p>
        </w:tc>
      </w:tr>
      <w:tr w:rsidR="009B14B4" w:rsidRPr="00950139" w14:paraId="089A5342" w14:textId="77777777" w:rsidTr="00D2330E">
        <w:tc>
          <w:tcPr>
            <w:tcW w:w="4618" w:type="dxa"/>
            <w:gridSpan w:val="2"/>
          </w:tcPr>
          <w:p w14:paraId="089A5340" w14:textId="77777777" w:rsidR="009B14B4" w:rsidRPr="00950139" w:rsidRDefault="009B14B4" w:rsidP="00A6556F">
            <w:pPr>
              <w:spacing w:after="0" w:line="240" w:lineRule="auto"/>
              <w:rPr>
                <w:rFonts w:ascii="Arial" w:eastAsia="Times New Roman" w:hAnsi="Arial" w:cs="Arial"/>
                <w:sz w:val="24"/>
                <w:szCs w:val="24"/>
                <w:lang w:eastAsia="ja-JP"/>
              </w:rPr>
            </w:pPr>
          </w:p>
        </w:tc>
        <w:tc>
          <w:tcPr>
            <w:tcW w:w="5163" w:type="dxa"/>
            <w:gridSpan w:val="2"/>
          </w:tcPr>
          <w:p w14:paraId="089A5341" w14:textId="77777777" w:rsidR="009B14B4" w:rsidRPr="00950139" w:rsidRDefault="009B14B4" w:rsidP="00A6556F">
            <w:pPr>
              <w:spacing w:after="0" w:line="240" w:lineRule="auto"/>
              <w:jc w:val="right"/>
              <w:rPr>
                <w:rFonts w:ascii="Arial" w:eastAsia="Times New Roman" w:hAnsi="Arial" w:cs="Arial"/>
                <w:sz w:val="24"/>
                <w:szCs w:val="24"/>
                <w:lang w:eastAsia="ja-JP"/>
              </w:rPr>
            </w:pPr>
          </w:p>
        </w:tc>
      </w:tr>
      <w:tr w:rsidR="00A6556F" w:rsidRPr="00950139" w14:paraId="089A5344" w14:textId="77777777" w:rsidTr="00D2330E">
        <w:trPr>
          <w:cantSplit/>
        </w:trPr>
        <w:tc>
          <w:tcPr>
            <w:tcW w:w="9781" w:type="dxa"/>
            <w:gridSpan w:val="4"/>
          </w:tcPr>
          <w:p w14:paraId="089A5343" w14:textId="77777777" w:rsidR="00A6556F" w:rsidRPr="00950139" w:rsidRDefault="00A6556F" w:rsidP="00A6556F">
            <w:pPr>
              <w:spacing w:after="0" w:line="240" w:lineRule="auto"/>
              <w:rPr>
                <w:rFonts w:ascii="Arial" w:eastAsia="Times New Roman" w:hAnsi="Arial" w:cs="Arial"/>
                <w:sz w:val="24"/>
                <w:szCs w:val="24"/>
                <w:lang w:eastAsia="ja-JP"/>
              </w:rPr>
            </w:pPr>
            <w:r w:rsidRPr="00950139">
              <w:rPr>
                <w:rFonts w:ascii="Arial" w:eastAsia="Times New Roman" w:hAnsi="Arial" w:cs="Arial"/>
                <w:sz w:val="24"/>
                <w:szCs w:val="24"/>
                <w:lang w:eastAsia="ja-JP"/>
              </w:rPr>
              <w:t>BETWEEN:</w:t>
            </w:r>
          </w:p>
        </w:tc>
      </w:tr>
      <w:tr w:rsidR="00A6556F" w:rsidRPr="00950139" w14:paraId="089A5348" w14:textId="77777777" w:rsidTr="00D2330E">
        <w:trPr>
          <w:cantSplit/>
        </w:trPr>
        <w:tc>
          <w:tcPr>
            <w:tcW w:w="1526" w:type="dxa"/>
            <w:vAlign w:val="center"/>
          </w:tcPr>
          <w:p w14:paraId="089A5345"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089A5346" w14:textId="4FB20640" w:rsidR="00A6556F" w:rsidRPr="00950139" w:rsidRDefault="00F457D1" w:rsidP="001C310F">
            <w:pPr>
              <w:spacing w:after="0" w:line="240" w:lineRule="auto"/>
              <w:jc w:val="center"/>
              <w:rPr>
                <w:rFonts w:ascii="Arial" w:eastAsia="Times New Roman" w:hAnsi="Arial" w:cs="Arial"/>
                <w:sz w:val="24"/>
                <w:szCs w:val="24"/>
                <w:lang w:eastAsia="ja-JP"/>
              </w:rPr>
            </w:pPr>
            <w:r>
              <w:rPr>
                <w:rFonts w:ascii="Arial" w:eastAsia="Times New Roman" w:hAnsi="Arial" w:cs="Arial"/>
                <w:sz w:val="24"/>
                <w:szCs w:val="24"/>
                <w:lang w:eastAsia="ja-JP"/>
              </w:rPr>
              <w:t xml:space="preserve">MR </w:t>
            </w:r>
            <w:r w:rsidR="00460419">
              <w:rPr>
                <w:rFonts w:ascii="Arial" w:eastAsia="Times New Roman" w:hAnsi="Arial" w:cs="Arial"/>
                <w:sz w:val="24"/>
                <w:szCs w:val="24"/>
                <w:lang w:eastAsia="ja-JP"/>
              </w:rPr>
              <w:t>X</w:t>
            </w:r>
          </w:p>
        </w:tc>
        <w:tc>
          <w:tcPr>
            <w:tcW w:w="2018" w:type="dxa"/>
            <w:vAlign w:val="center"/>
          </w:tcPr>
          <w:p w14:paraId="089A5347"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Appellant</w:t>
            </w:r>
          </w:p>
        </w:tc>
      </w:tr>
      <w:tr w:rsidR="00A6556F" w:rsidRPr="00950139" w14:paraId="089A534C" w14:textId="77777777" w:rsidTr="00D2330E">
        <w:trPr>
          <w:cantSplit/>
          <w:trHeight w:val="95"/>
        </w:trPr>
        <w:tc>
          <w:tcPr>
            <w:tcW w:w="1526" w:type="dxa"/>
            <w:vAlign w:val="center"/>
          </w:tcPr>
          <w:p w14:paraId="089A5349"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Pr>
          <w:p w14:paraId="089A534A" w14:textId="77777777" w:rsidR="00A6556F" w:rsidRPr="00950139" w:rsidRDefault="00A6556F" w:rsidP="00A6556F">
            <w:pPr>
              <w:spacing w:after="0" w:line="240" w:lineRule="auto"/>
              <w:rPr>
                <w:rFonts w:ascii="Arial" w:eastAsia="Times New Roman" w:hAnsi="Arial" w:cs="Arial"/>
                <w:smallCaps/>
                <w:sz w:val="24"/>
                <w:szCs w:val="24"/>
                <w:lang w:eastAsia="ja-JP"/>
              </w:rPr>
            </w:pPr>
          </w:p>
        </w:tc>
        <w:tc>
          <w:tcPr>
            <w:tcW w:w="2018" w:type="dxa"/>
            <w:vAlign w:val="center"/>
          </w:tcPr>
          <w:p w14:paraId="089A534B" w14:textId="77777777" w:rsidR="00A6556F" w:rsidRPr="00950139" w:rsidRDefault="00A6556F" w:rsidP="00A6556F">
            <w:pPr>
              <w:spacing w:after="0" w:line="240" w:lineRule="auto"/>
              <w:rPr>
                <w:rFonts w:ascii="Arial" w:eastAsia="Times New Roman" w:hAnsi="Arial" w:cs="Arial"/>
                <w:sz w:val="24"/>
                <w:szCs w:val="24"/>
                <w:lang w:eastAsia="ja-JP"/>
              </w:rPr>
            </w:pPr>
          </w:p>
        </w:tc>
      </w:tr>
      <w:tr w:rsidR="00A6556F" w:rsidRPr="00950139" w14:paraId="089A5350" w14:textId="77777777" w:rsidTr="00D2330E">
        <w:trPr>
          <w:cantSplit/>
        </w:trPr>
        <w:tc>
          <w:tcPr>
            <w:tcW w:w="9781" w:type="dxa"/>
            <w:gridSpan w:val="4"/>
          </w:tcPr>
          <w:p w14:paraId="089A534D" w14:textId="77777777" w:rsidR="00A6556F" w:rsidRPr="00950139" w:rsidRDefault="00A6556F" w:rsidP="00A6556F">
            <w:pPr>
              <w:spacing w:after="0" w:line="240" w:lineRule="auto"/>
              <w:rPr>
                <w:rFonts w:ascii="Arial" w:eastAsia="Times New Roman" w:hAnsi="Arial" w:cs="Arial"/>
                <w:sz w:val="24"/>
                <w:szCs w:val="24"/>
                <w:lang w:eastAsia="ja-JP"/>
              </w:rPr>
            </w:pPr>
          </w:p>
          <w:p w14:paraId="089A534E"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 and -</w:t>
            </w:r>
          </w:p>
          <w:p w14:paraId="089A534F"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r>
      <w:tr w:rsidR="00A6556F" w:rsidRPr="00950139" w14:paraId="089A5354" w14:textId="77777777" w:rsidTr="00D2330E">
        <w:trPr>
          <w:cantSplit/>
        </w:trPr>
        <w:tc>
          <w:tcPr>
            <w:tcW w:w="1526" w:type="dxa"/>
            <w:vAlign w:val="center"/>
          </w:tcPr>
          <w:p w14:paraId="089A5351"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089A5352"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SECRETARY OF STATE FOR WORK AND PENSIONS</w:t>
            </w:r>
          </w:p>
        </w:tc>
        <w:tc>
          <w:tcPr>
            <w:tcW w:w="2018" w:type="dxa"/>
            <w:vAlign w:val="center"/>
          </w:tcPr>
          <w:p w14:paraId="089A5353"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Respondent</w:t>
            </w:r>
          </w:p>
        </w:tc>
      </w:tr>
      <w:tr w:rsidR="00A6556F" w:rsidRPr="00950139" w14:paraId="089A5358" w14:textId="77777777" w:rsidTr="00D2330E">
        <w:trPr>
          <w:cantSplit/>
        </w:trPr>
        <w:tc>
          <w:tcPr>
            <w:tcW w:w="1526" w:type="dxa"/>
          </w:tcPr>
          <w:p w14:paraId="089A5355"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6237" w:type="dxa"/>
            <w:gridSpan w:val="2"/>
          </w:tcPr>
          <w:p w14:paraId="089A5356"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c>
          <w:tcPr>
            <w:tcW w:w="2018" w:type="dxa"/>
            <w:vAlign w:val="center"/>
          </w:tcPr>
          <w:p w14:paraId="089A535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r>
      <w:tr w:rsidR="00A6556F" w:rsidRPr="00950139" w14:paraId="089A535A" w14:textId="77777777" w:rsidTr="00D2330E">
        <w:trPr>
          <w:cantSplit/>
        </w:trPr>
        <w:tc>
          <w:tcPr>
            <w:tcW w:w="9781" w:type="dxa"/>
            <w:gridSpan w:val="4"/>
          </w:tcPr>
          <w:p w14:paraId="089A5359"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r>
      <w:tr w:rsidR="00A6556F" w:rsidRPr="00950139" w14:paraId="089A5360" w14:textId="77777777" w:rsidTr="00D2330E">
        <w:trPr>
          <w:cantSplit/>
        </w:trPr>
        <w:tc>
          <w:tcPr>
            <w:tcW w:w="1526" w:type="dxa"/>
          </w:tcPr>
          <w:p w14:paraId="089A535B"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Borders>
              <w:top w:val="single" w:sz="4" w:space="0" w:color="auto"/>
              <w:bottom w:val="single" w:sz="4" w:space="0" w:color="auto"/>
            </w:tcBorders>
          </w:tcPr>
          <w:p w14:paraId="089A535C" w14:textId="77777777" w:rsidR="00A6556F" w:rsidRPr="00950139" w:rsidRDefault="00A6556F" w:rsidP="00A6556F">
            <w:pPr>
              <w:spacing w:after="0" w:line="240" w:lineRule="auto"/>
              <w:jc w:val="center"/>
              <w:rPr>
                <w:rFonts w:ascii="Arial" w:eastAsia="Times New Roman" w:hAnsi="Arial" w:cs="Arial"/>
                <w:sz w:val="24"/>
                <w:szCs w:val="24"/>
                <w:lang w:eastAsia="ja-JP"/>
              </w:rPr>
            </w:pPr>
          </w:p>
          <w:p w14:paraId="089A535D" w14:textId="7F5C36AF" w:rsidR="00A6556F" w:rsidRPr="00950139" w:rsidRDefault="00A6556F" w:rsidP="00A6556F">
            <w:pPr>
              <w:spacing w:after="0" w:line="240" w:lineRule="auto"/>
              <w:jc w:val="center"/>
              <w:rPr>
                <w:rFonts w:ascii="Arial" w:eastAsia="Times New Roman" w:hAnsi="Arial" w:cs="Arial"/>
                <w:sz w:val="24"/>
                <w:szCs w:val="24"/>
              </w:rPr>
            </w:pPr>
            <w:r w:rsidRPr="00950139">
              <w:rPr>
                <w:rFonts w:ascii="Arial" w:eastAsia="Times New Roman" w:hAnsi="Arial" w:cs="Arial"/>
                <w:sz w:val="24"/>
                <w:szCs w:val="24"/>
              </w:rPr>
              <w:t>APPELLANT’S</w:t>
            </w:r>
            <w:r w:rsidR="00F67937">
              <w:rPr>
                <w:rFonts w:ascii="Arial" w:eastAsia="Times New Roman" w:hAnsi="Arial" w:cs="Arial"/>
                <w:sz w:val="24"/>
                <w:szCs w:val="24"/>
              </w:rPr>
              <w:t xml:space="preserve"> FURTHER </w:t>
            </w:r>
            <w:r w:rsidR="00F67937" w:rsidRPr="00950139">
              <w:rPr>
                <w:rFonts w:ascii="Arial" w:eastAsia="Times New Roman" w:hAnsi="Arial" w:cs="Arial"/>
                <w:sz w:val="24"/>
                <w:szCs w:val="24"/>
              </w:rPr>
              <w:t>SUBMISSIONS</w:t>
            </w:r>
            <w:r w:rsidRPr="00950139">
              <w:rPr>
                <w:rFonts w:ascii="Arial" w:eastAsia="Times New Roman" w:hAnsi="Arial" w:cs="Arial"/>
                <w:sz w:val="24"/>
                <w:szCs w:val="24"/>
              </w:rPr>
              <w:t xml:space="preserve"> FOR THE HEARING </w:t>
            </w:r>
          </w:p>
          <w:p w14:paraId="089A535E"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2018" w:type="dxa"/>
          </w:tcPr>
          <w:p w14:paraId="089A535F" w14:textId="77777777" w:rsidR="00A6556F" w:rsidRPr="00950139" w:rsidRDefault="00A6556F" w:rsidP="00A6556F">
            <w:pPr>
              <w:spacing w:after="0" w:line="240" w:lineRule="auto"/>
              <w:rPr>
                <w:rFonts w:ascii="Arial" w:eastAsia="Times New Roman" w:hAnsi="Arial" w:cs="Arial"/>
                <w:sz w:val="24"/>
                <w:szCs w:val="24"/>
                <w:lang w:eastAsia="ja-JP"/>
              </w:rPr>
            </w:pPr>
          </w:p>
        </w:tc>
      </w:tr>
    </w:tbl>
    <w:p w14:paraId="089A5361" w14:textId="77777777" w:rsidR="00A6556F" w:rsidRPr="00950139" w:rsidRDefault="00A6556F" w:rsidP="00A6556F">
      <w:pPr>
        <w:spacing w:after="0" w:line="240" w:lineRule="auto"/>
        <w:rPr>
          <w:rFonts w:ascii="Arial" w:eastAsia="Times New Roman" w:hAnsi="Arial" w:cs="Arial"/>
          <w:sz w:val="20"/>
          <w:szCs w:val="20"/>
        </w:rPr>
      </w:pPr>
    </w:p>
    <w:p w14:paraId="089A5362" w14:textId="6DF45536" w:rsidR="00A6556F" w:rsidRPr="00F67937" w:rsidRDefault="00F67937" w:rsidP="00F67937">
      <w:pPr>
        <w:spacing w:after="0" w:line="240" w:lineRule="auto"/>
        <w:ind w:left="1418" w:right="2114"/>
        <w:rPr>
          <w:rFonts w:ascii="Times New Roman" w:eastAsia="Times New Roman" w:hAnsi="Times New Roman" w:cs="Times New Roman"/>
          <w:b/>
          <w:bCs/>
          <w:i/>
          <w:iCs/>
          <w:sz w:val="28"/>
          <w:szCs w:val="28"/>
        </w:rPr>
      </w:pPr>
      <w:r w:rsidRPr="00F67937">
        <w:rPr>
          <w:rFonts w:ascii="Times New Roman" w:eastAsia="Times New Roman" w:hAnsi="Times New Roman" w:cs="Times New Roman"/>
          <w:b/>
          <w:bCs/>
          <w:i/>
          <w:iCs/>
          <w:sz w:val="28"/>
          <w:szCs w:val="28"/>
        </w:rPr>
        <w:t>The Paragraphs in My Original Submission were Numbered and Ended at Paragraph 30 These Further Observations Start at Paragraph 31 for the Sake of Continuity and Clarity</w:t>
      </w:r>
    </w:p>
    <w:p w14:paraId="089A5363"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089A5364" w14:textId="77777777" w:rsidR="00004949" w:rsidRPr="00004949" w:rsidRDefault="00004949" w:rsidP="00004949">
      <w:pPr>
        <w:spacing w:after="0" w:line="240" w:lineRule="auto"/>
        <w:ind w:left="720" w:right="555"/>
        <w:rPr>
          <w:rFonts w:ascii="Arial" w:eastAsia="Times New Roman" w:hAnsi="Arial" w:cs="Arial"/>
          <w:sz w:val="24"/>
          <w:szCs w:val="24"/>
        </w:rPr>
      </w:pPr>
    </w:p>
    <w:p w14:paraId="48443BCB" w14:textId="77777777" w:rsidR="00266F64" w:rsidRDefault="00266F64" w:rsidP="00266F64">
      <w:pPr>
        <w:pStyle w:val="NormalWeb"/>
        <w:tabs>
          <w:tab w:val="left" w:pos="851"/>
          <w:tab w:val="left" w:pos="9923"/>
        </w:tabs>
        <w:spacing w:before="0" w:beforeAutospacing="0" w:after="0" w:afterAutospacing="0"/>
        <w:ind w:left="851" w:right="271"/>
        <w:rPr>
          <w:rFonts w:ascii="Arial" w:hAnsi="Arial" w:cs="Arial"/>
        </w:rPr>
      </w:pPr>
    </w:p>
    <w:p w14:paraId="0C03AB0B" w14:textId="06C4595B" w:rsidR="00266F64" w:rsidRDefault="00266F64" w:rsidP="00F67937">
      <w:pPr>
        <w:pStyle w:val="NormalWeb"/>
        <w:numPr>
          <w:ilvl w:val="0"/>
          <w:numId w:val="22"/>
        </w:numPr>
        <w:tabs>
          <w:tab w:val="left" w:pos="851"/>
          <w:tab w:val="left" w:pos="9923"/>
        </w:tabs>
        <w:spacing w:before="0" w:beforeAutospacing="0" w:after="0" w:afterAutospacing="0"/>
        <w:ind w:left="851" w:right="271"/>
        <w:rPr>
          <w:rFonts w:ascii="Arial" w:hAnsi="Arial" w:cs="Arial"/>
        </w:rPr>
      </w:pPr>
      <w:r>
        <w:rPr>
          <w:rFonts w:ascii="Arial" w:hAnsi="Arial" w:cs="Arial"/>
        </w:rPr>
        <w:t xml:space="preserve">I have received the Respondent’s further submission dated 02/05/2023 and I take strong issue with the </w:t>
      </w:r>
      <w:r w:rsidR="00F67937">
        <w:rPr>
          <w:rFonts w:ascii="Arial" w:hAnsi="Arial" w:cs="Arial"/>
        </w:rPr>
        <w:t xml:space="preserve">Respondent’s </w:t>
      </w:r>
      <w:r>
        <w:rPr>
          <w:rFonts w:ascii="Arial" w:hAnsi="Arial" w:cs="Arial"/>
        </w:rPr>
        <w:t>statement that</w:t>
      </w:r>
    </w:p>
    <w:p w14:paraId="6C19FA39" w14:textId="77777777" w:rsidR="00266F64" w:rsidRDefault="00266F64" w:rsidP="00266F64">
      <w:pPr>
        <w:pStyle w:val="ListParagraph"/>
        <w:rPr>
          <w:rFonts w:ascii="Arial" w:hAnsi="Arial" w:cs="Arial"/>
        </w:rPr>
      </w:pPr>
    </w:p>
    <w:p w14:paraId="035EEF96" w14:textId="061E4F54" w:rsidR="00266F64" w:rsidRDefault="00266F64" w:rsidP="00266F64">
      <w:pPr>
        <w:pStyle w:val="NormalWeb"/>
        <w:tabs>
          <w:tab w:val="left" w:pos="1701"/>
          <w:tab w:val="left" w:pos="9923"/>
        </w:tabs>
        <w:spacing w:before="0" w:beforeAutospacing="0" w:after="0" w:afterAutospacing="0"/>
        <w:ind w:left="1701" w:right="838"/>
        <w:rPr>
          <w:rFonts w:ascii="Arial" w:hAnsi="Arial" w:cs="Arial"/>
        </w:rPr>
      </w:pPr>
      <w:r>
        <w:rPr>
          <w:rFonts w:ascii="Arial" w:hAnsi="Arial" w:cs="Arial"/>
        </w:rPr>
        <w:t>The Appellant should ensure that they apply for any extension to their leave to remain as appropriate before it expires and notify PIP once it has been done so that any extension to the award can be considered.</w:t>
      </w:r>
    </w:p>
    <w:p w14:paraId="04106E93" w14:textId="77777777" w:rsidR="00266F64" w:rsidRDefault="00266F64" w:rsidP="00266F64">
      <w:pPr>
        <w:pStyle w:val="ListParagraph"/>
        <w:rPr>
          <w:rFonts w:ascii="Arial" w:hAnsi="Arial" w:cs="Arial"/>
        </w:rPr>
      </w:pPr>
    </w:p>
    <w:p w14:paraId="5A7CE2AA" w14:textId="53809B13" w:rsidR="00266F64" w:rsidRDefault="00266F64"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Pr>
          <w:rFonts w:ascii="Arial" w:hAnsi="Arial" w:cs="Arial"/>
        </w:rPr>
        <w:t xml:space="preserve">I </w:t>
      </w:r>
      <w:r w:rsidR="00F67937">
        <w:rPr>
          <w:rFonts w:ascii="Arial" w:hAnsi="Arial" w:cs="Arial"/>
        </w:rPr>
        <w:t xml:space="preserve">draw the Tribunal’s attention to </w:t>
      </w:r>
      <w:r>
        <w:rPr>
          <w:rFonts w:ascii="Arial" w:hAnsi="Arial" w:cs="Arial"/>
        </w:rPr>
        <w:t xml:space="preserve"> paragraphs 10 and 12 </w:t>
      </w:r>
      <w:r w:rsidR="00194D8E">
        <w:rPr>
          <w:rFonts w:ascii="Arial" w:hAnsi="Arial" w:cs="Arial"/>
        </w:rPr>
        <w:t xml:space="preserve">of my original submission </w:t>
      </w:r>
    </w:p>
    <w:p w14:paraId="4D02E2D2" w14:textId="77777777" w:rsidR="00194D8E" w:rsidRDefault="00194D8E" w:rsidP="00194D8E">
      <w:pPr>
        <w:pStyle w:val="NormalWeb"/>
        <w:tabs>
          <w:tab w:val="left" w:pos="851"/>
          <w:tab w:val="left" w:pos="9923"/>
        </w:tabs>
        <w:spacing w:before="0" w:beforeAutospacing="0" w:after="0" w:afterAutospacing="0"/>
        <w:ind w:left="851" w:right="271"/>
        <w:rPr>
          <w:rFonts w:ascii="Arial" w:hAnsi="Arial" w:cs="Arial"/>
        </w:rPr>
      </w:pPr>
    </w:p>
    <w:p w14:paraId="4796FB94" w14:textId="29CBCF3F" w:rsidR="00194D8E" w:rsidRDefault="00E25D27" w:rsidP="00E25D27">
      <w:pPr>
        <w:pStyle w:val="NormalWeb"/>
        <w:tabs>
          <w:tab w:val="left" w:pos="9214"/>
          <w:tab w:val="left" w:pos="9498"/>
        </w:tabs>
        <w:spacing w:before="0" w:beforeAutospacing="0" w:after="0" w:afterAutospacing="0"/>
        <w:ind w:left="1701" w:right="1831"/>
        <w:rPr>
          <w:rFonts w:ascii="Arial" w:hAnsi="Arial" w:cs="Arial"/>
        </w:rPr>
      </w:pPr>
      <w:r>
        <w:rPr>
          <w:rFonts w:ascii="Arial" w:hAnsi="Arial" w:cs="Arial"/>
        </w:rPr>
        <w:t xml:space="preserve">10 </w:t>
      </w:r>
      <w:r w:rsidRPr="00E25D27">
        <w:rPr>
          <w:rFonts w:ascii="Arial" w:hAnsi="Arial" w:cs="Arial"/>
        </w:rPr>
        <w:t xml:space="preserve">Mr </w:t>
      </w:r>
      <w:r w:rsidR="00460419">
        <w:rPr>
          <w:rFonts w:ascii="Arial" w:hAnsi="Arial" w:cs="Arial"/>
        </w:rPr>
        <w:t>X</w:t>
      </w:r>
      <w:r w:rsidRPr="00E25D27">
        <w:rPr>
          <w:rFonts w:ascii="Arial" w:hAnsi="Arial" w:cs="Arial"/>
        </w:rPr>
        <w:t xml:space="preserve"> always applies for a variation of his leave to remain before it expires but there is always a delay by the Immigration Authorities in processing that application</w:t>
      </w:r>
    </w:p>
    <w:p w14:paraId="1BDB9FD2" w14:textId="77777777" w:rsidR="00194D8E" w:rsidRDefault="00194D8E" w:rsidP="00E25D27">
      <w:pPr>
        <w:pStyle w:val="NormalWeb"/>
        <w:tabs>
          <w:tab w:val="left" w:pos="851"/>
          <w:tab w:val="left" w:pos="9214"/>
          <w:tab w:val="left" w:pos="9498"/>
        </w:tabs>
        <w:spacing w:before="0" w:beforeAutospacing="0" w:after="0" w:afterAutospacing="0"/>
        <w:ind w:left="851" w:right="1831"/>
        <w:rPr>
          <w:rFonts w:ascii="Arial" w:hAnsi="Arial" w:cs="Arial"/>
        </w:rPr>
      </w:pPr>
    </w:p>
    <w:p w14:paraId="1D6E79F5" w14:textId="77777777" w:rsidR="00194D8E" w:rsidRDefault="00194D8E" w:rsidP="00E25D27">
      <w:pPr>
        <w:pStyle w:val="NormalWeb"/>
        <w:tabs>
          <w:tab w:val="left" w:pos="851"/>
          <w:tab w:val="left" w:pos="9214"/>
          <w:tab w:val="left" w:pos="9498"/>
        </w:tabs>
        <w:spacing w:before="0" w:beforeAutospacing="0" w:after="0" w:afterAutospacing="0"/>
        <w:ind w:left="851" w:right="1831"/>
        <w:rPr>
          <w:rFonts w:ascii="Arial" w:hAnsi="Arial" w:cs="Arial"/>
        </w:rPr>
      </w:pPr>
    </w:p>
    <w:p w14:paraId="467E8539" w14:textId="2881A43E" w:rsidR="00194D8E" w:rsidRDefault="00194D8E" w:rsidP="00E25D27">
      <w:pPr>
        <w:pStyle w:val="NormalWeb"/>
        <w:tabs>
          <w:tab w:val="left" w:pos="9214"/>
          <w:tab w:val="left" w:pos="9498"/>
        </w:tabs>
        <w:spacing w:before="0" w:beforeAutospacing="0" w:after="0" w:afterAutospacing="0"/>
        <w:ind w:left="1701" w:right="1831"/>
        <w:rPr>
          <w:rFonts w:ascii="Arial" w:hAnsi="Arial" w:cs="Arial"/>
        </w:rPr>
      </w:pPr>
      <w:r w:rsidRPr="00194D8E">
        <w:rPr>
          <w:rFonts w:ascii="Arial" w:hAnsi="Arial" w:cs="Arial"/>
        </w:rPr>
        <w:t>12.</w:t>
      </w:r>
      <w:r>
        <w:rPr>
          <w:rFonts w:ascii="Arial" w:hAnsi="Arial" w:cs="Arial"/>
        </w:rPr>
        <w:t xml:space="preserve"> </w:t>
      </w:r>
      <w:r w:rsidRPr="00194D8E">
        <w:rPr>
          <w:rFonts w:ascii="Arial" w:hAnsi="Arial" w:cs="Arial"/>
        </w:rPr>
        <w:t xml:space="preserve">The Respondent on the other hand inevitably refuses to extend Mr </w:t>
      </w:r>
      <w:r w:rsidR="00460419">
        <w:rPr>
          <w:rFonts w:ascii="Arial" w:hAnsi="Arial" w:cs="Arial"/>
        </w:rPr>
        <w:t>X</w:t>
      </w:r>
      <w:r w:rsidRPr="00194D8E">
        <w:rPr>
          <w:rFonts w:ascii="Arial" w:hAnsi="Arial" w:cs="Arial"/>
        </w:rPr>
        <w:t xml:space="preserve">’s PIP award pending the variation decision, regardless of whether Mr </w:t>
      </w:r>
      <w:r w:rsidR="00460419">
        <w:rPr>
          <w:rFonts w:ascii="Arial" w:hAnsi="Arial" w:cs="Arial"/>
        </w:rPr>
        <w:t>X</w:t>
      </w:r>
      <w:r w:rsidRPr="00194D8E">
        <w:rPr>
          <w:rFonts w:ascii="Arial" w:hAnsi="Arial" w:cs="Arial"/>
        </w:rPr>
        <w:t xml:space="preserve"> has submitted a new claim.  This means that the award is not reinstated until some time after the variation decision even though Mr </w:t>
      </w:r>
      <w:r w:rsidR="00460419">
        <w:rPr>
          <w:rFonts w:ascii="Arial" w:hAnsi="Arial" w:cs="Arial"/>
        </w:rPr>
        <w:t>X</w:t>
      </w:r>
      <w:r w:rsidRPr="00194D8E">
        <w:rPr>
          <w:rFonts w:ascii="Arial" w:hAnsi="Arial" w:cs="Arial"/>
        </w:rPr>
        <w:t xml:space="preserve"> has ongoing leave to remain under S3C of the 1971 Immigration Act. It goes without saying that Mr </w:t>
      </w:r>
      <w:r w:rsidR="00460419">
        <w:rPr>
          <w:rFonts w:ascii="Arial" w:hAnsi="Arial" w:cs="Arial"/>
        </w:rPr>
        <w:t>X</w:t>
      </w:r>
      <w:r w:rsidRPr="00194D8E">
        <w:rPr>
          <w:rFonts w:ascii="Arial" w:hAnsi="Arial" w:cs="Arial"/>
        </w:rPr>
        <w:t xml:space="preserve"> and his wife experience significant hardship every time his PIP comes up for renewal and that this arises solely because of the Respondent’s intransigence and his refusal to recognise the provisions of S3C</w:t>
      </w:r>
    </w:p>
    <w:p w14:paraId="0CA8656A" w14:textId="77777777" w:rsidR="00644045" w:rsidRDefault="00644045" w:rsidP="00E25D27">
      <w:pPr>
        <w:pStyle w:val="NormalWeb"/>
        <w:tabs>
          <w:tab w:val="left" w:pos="9214"/>
          <w:tab w:val="left" w:pos="9498"/>
        </w:tabs>
        <w:spacing w:before="0" w:beforeAutospacing="0" w:after="0" w:afterAutospacing="0"/>
        <w:ind w:left="1701" w:right="1831"/>
        <w:rPr>
          <w:rFonts w:ascii="Arial" w:hAnsi="Arial" w:cs="Arial"/>
        </w:rPr>
      </w:pPr>
    </w:p>
    <w:p w14:paraId="5539E5A7" w14:textId="1B13BCB1" w:rsidR="00194D8E" w:rsidRDefault="00337CEC"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b/>
          <w:bCs/>
        </w:rPr>
      </w:pPr>
      <w:r>
        <w:rPr>
          <w:rFonts w:ascii="Arial" w:hAnsi="Arial" w:cs="Arial"/>
        </w:rPr>
        <w:lastRenderedPageBreak/>
        <w:t xml:space="preserve">The Respondent’s submission writer is now saying that Mr </w:t>
      </w:r>
      <w:r w:rsidR="00460419">
        <w:rPr>
          <w:rFonts w:ascii="Arial" w:hAnsi="Arial" w:cs="Arial"/>
        </w:rPr>
        <w:t>X</w:t>
      </w:r>
      <w:r>
        <w:rPr>
          <w:rFonts w:ascii="Arial" w:hAnsi="Arial" w:cs="Arial"/>
        </w:rPr>
        <w:t>’s award can be extended once he has applied for a va</w:t>
      </w:r>
      <w:r w:rsidR="008056EF">
        <w:rPr>
          <w:rFonts w:ascii="Arial" w:hAnsi="Arial" w:cs="Arial"/>
        </w:rPr>
        <w:t xml:space="preserve">riation in his leave </w:t>
      </w:r>
      <w:r w:rsidR="008056EF" w:rsidRPr="004C17CD">
        <w:rPr>
          <w:rFonts w:ascii="Arial" w:hAnsi="Arial" w:cs="Arial"/>
          <w:b/>
          <w:bCs/>
        </w:rPr>
        <w:t xml:space="preserve">but </w:t>
      </w:r>
      <w:r w:rsidR="00803EB2" w:rsidRPr="004C17CD">
        <w:rPr>
          <w:rFonts w:ascii="Arial" w:hAnsi="Arial" w:cs="Arial"/>
          <w:b/>
          <w:bCs/>
        </w:rPr>
        <w:t>that has never happened in practice, r</w:t>
      </w:r>
      <w:r w:rsidR="00B77434" w:rsidRPr="004C17CD">
        <w:rPr>
          <w:rFonts w:ascii="Arial" w:hAnsi="Arial" w:cs="Arial"/>
          <w:b/>
          <w:bCs/>
        </w:rPr>
        <w:t xml:space="preserve">egardless of the fact that he has made the relevant application </w:t>
      </w:r>
      <w:r w:rsidR="004C17CD" w:rsidRPr="004C17CD">
        <w:rPr>
          <w:rFonts w:ascii="Arial" w:hAnsi="Arial" w:cs="Arial"/>
          <w:b/>
          <w:bCs/>
        </w:rPr>
        <w:t xml:space="preserve">and that he has “notified </w:t>
      </w:r>
      <w:r w:rsidR="0067718D" w:rsidRPr="004C17CD">
        <w:rPr>
          <w:rFonts w:ascii="Arial" w:hAnsi="Arial" w:cs="Arial"/>
          <w:b/>
          <w:bCs/>
        </w:rPr>
        <w:t>PIP</w:t>
      </w:r>
      <w:r w:rsidR="00FA24D6">
        <w:rPr>
          <w:rFonts w:ascii="Arial" w:hAnsi="Arial" w:cs="Arial"/>
          <w:b/>
          <w:bCs/>
        </w:rPr>
        <w:t>”</w:t>
      </w:r>
      <w:r w:rsidR="0067718D">
        <w:rPr>
          <w:rFonts w:ascii="Arial" w:hAnsi="Arial" w:cs="Arial"/>
          <w:b/>
          <w:bCs/>
        </w:rPr>
        <w:t xml:space="preserve"> (</w:t>
      </w:r>
      <w:r w:rsidR="00DB03CB">
        <w:rPr>
          <w:rFonts w:ascii="Arial" w:hAnsi="Arial" w:cs="Arial"/>
          <w:b/>
          <w:bCs/>
        </w:rPr>
        <w:t>This is what has motivated this appeal)</w:t>
      </w:r>
    </w:p>
    <w:p w14:paraId="0B6EE96A" w14:textId="77777777" w:rsidR="00DB03CB" w:rsidRDefault="00DB03CB" w:rsidP="00DB03CB">
      <w:pPr>
        <w:pStyle w:val="NormalWeb"/>
        <w:tabs>
          <w:tab w:val="left" w:pos="851"/>
          <w:tab w:val="left" w:pos="9923"/>
        </w:tabs>
        <w:spacing w:before="0" w:beforeAutospacing="0" w:after="0" w:afterAutospacing="0"/>
        <w:ind w:left="851" w:right="555"/>
        <w:rPr>
          <w:rFonts w:ascii="Arial" w:hAnsi="Arial" w:cs="Arial"/>
          <w:b/>
          <w:bCs/>
        </w:rPr>
      </w:pPr>
    </w:p>
    <w:p w14:paraId="4865B30A" w14:textId="4A465A17" w:rsidR="00DB03CB" w:rsidRDefault="00745700"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sidRPr="00745700">
        <w:rPr>
          <w:rFonts w:ascii="Arial" w:hAnsi="Arial" w:cs="Arial"/>
        </w:rPr>
        <w:t xml:space="preserve">The </w:t>
      </w:r>
      <w:r>
        <w:rPr>
          <w:rFonts w:ascii="Arial" w:hAnsi="Arial" w:cs="Arial"/>
        </w:rPr>
        <w:t xml:space="preserve">Respondent’s statement is to a large extent self-contradictory because </w:t>
      </w:r>
      <w:r w:rsidR="00FA24D6">
        <w:rPr>
          <w:rFonts w:ascii="Arial" w:hAnsi="Arial" w:cs="Arial"/>
        </w:rPr>
        <w:t xml:space="preserve">the Respondent  also </w:t>
      </w:r>
      <w:r w:rsidR="00FD119E">
        <w:rPr>
          <w:rFonts w:ascii="Arial" w:hAnsi="Arial" w:cs="Arial"/>
        </w:rPr>
        <w:t xml:space="preserve"> stated </w:t>
      </w:r>
      <w:r w:rsidR="007635D0">
        <w:rPr>
          <w:rFonts w:ascii="Arial" w:hAnsi="Arial" w:cs="Arial"/>
        </w:rPr>
        <w:t xml:space="preserve">that PIP cannot be awarded beyond the </w:t>
      </w:r>
      <w:r w:rsidR="00556367">
        <w:rPr>
          <w:rFonts w:ascii="Arial" w:hAnsi="Arial" w:cs="Arial"/>
        </w:rPr>
        <w:t>expiry date of 30/11/2024 “</w:t>
      </w:r>
      <w:r w:rsidR="00556367" w:rsidRPr="00FA24D6">
        <w:rPr>
          <w:rFonts w:ascii="Arial" w:hAnsi="Arial" w:cs="Arial"/>
          <w:i/>
          <w:iCs/>
        </w:rPr>
        <w:t xml:space="preserve">in accordance with Regulation 16 </w:t>
      </w:r>
      <w:r w:rsidR="00B95EB8" w:rsidRPr="00FA24D6">
        <w:rPr>
          <w:rFonts w:ascii="Arial" w:hAnsi="Arial" w:cs="Arial"/>
          <w:i/>
          <w:iCs/>
        </w:rPr>
        <w:t xml:space="preserve">of the Social Security (Personal Independence Payment ) </w:t>
      </w:r>
      <w:r w:rsidR="00E63049" w:rsidRPr="00FA24D6">
        <w:rPr>
          <w:rFonts w:ascii="Arial" w:hAnsi="Arial" w:cs="Arial"/>
          <w:i/>
          <w:iCs/>
        </w:rPr>
        <w:t>Regulations</w:t>
      </w:r>
      <w:r w:rsidR="00B95EB8" w:rsidRPr="00FA24D6">
        <w:rPr>
          <w:rFonts w:ascii="Arial" w:hAnsi="Arial" w:cs="Arial"/>
          <w:i/>
          <w:iCs/>
        </w:rPr>
        <w:t xml:space="preserve"> </w:t>
      </w:r>
      <w:r w:rsidR="00E63049" w:rsidRPr="00FA24D6">
        <w:rPr>
          <w:rFonts w:ascii="Arial" w:hAnsi="Arial" w:cs="Arial"/>
          <w:i/>
          <w:iCs/>
        </w:rPr>
        <w:t xml:space="preserve">and section 115(9) </w:t>
      </w:r>
      <w:r w:rsidR="0067718D" w:rsidRPr="00FA24D6">
        <w:rPr>
          <w:rFonts w:ascii="Arial" w:hAnsi="Arial" w:cs="Arial"/>
          <w:i/>
          <w:iCs/>
        </w:rPr>
        <w:t>of the Immigration and Asylum Act 1999</w:t>
      </w:r>
      <w:r w:rsidR="0067718D">
        <w:rPr>
          <w:rFonts w:ascii="Arial" w:hAnsi="Arial" w:cs="Arial"/>
        </w:rPr>
        <w:t>.</w:t>
      </w:r>
      <w:r w:rsidR="00FA24D6">
        <w:rPr>
          <w:rFonts w:ascii="Arial" w:hAnsi="Arial" w:cs="Arial"/>
        </w:rPr>
        <w:t>”</w:t>
      </w:r>
    </w:p>
    <w:p w14:paraId="49DB0BC7" w14:textId="77777777" w:rsidR="0012434D" w:rsidRDefault="0012434D" w:rsidP="0012434D">
      <w:pPr>
        <w:pStyle w:val="ListParagraph"/>
        <w:rPr>
          <w:rFonts w:ascii="Arial" w:hAnsi="Arial" w:cs="Arial"/>
        </w:rPr>
      </w:pPr>
    </w:p>
    <w:p w14:paraId="32BAF879" w14:textId="4EAD4E81" w:rsidR="0012434D" w:rsidRDefault="0012434D"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Pr>
          <w:rFonts w:ascii="Arial" w:hAnsi="Arial" w:cs="Arial"/>
        </w:rPr>
        <w:t xml:space="preserve">Regulation </w:t>
      </w:r>
      <w:r w:rsidR="00FA24D6">
        <w:rPr>
          <w:rFonts w:ascii="Arial" w:hAnsi="Arial" w:cs="Arial"/>
        </w:rPr>
        <w:t>16 in</w:t>
      </w:r>
      <w:r w:rsidR="00B37068">
        <w:rPr>
          <w:rFonts w:ascii="Arial" w:hAnsi="Arial" w:cs="Arial"/>
        </w:rPr>
        <w:t xml:space="preserve"> so far as is relevant </w:t>
      </w:r>
      <w:r>
        <w:rPr>
          <w:rFonts w:ascii="Arial" w:hAnsi="Arial" w:cs="Arial"/>
        </w:rPr>
        <w:t>provides:</w:t>
      </w:r>
      <w:r w:rsidR="00F201C1">
        <w:rPr>
          <w:rFonts w:ascii="Arial" w:hAnsi="Arial" w:cs="Arial"/>
        </w:rPr>
        <w:t xml:space="preserve"> ( the emphasis is mine)</w:t>
      </w:r>
    </w:p>
    <w:p w14:paraId="16C20EB2" w14:textId="77777777" w:rsidR="00B37068" w:rsidRDefault="00B37068" w:rsidP="00B37068">
      <w:pPr>
        <w:pStyle w:val="ListParagraph"/>
        <w:rPr>
          <w:rFonts w:ascii="Arial" w:hAnsi="Arial" w:cs="Arial"/>
        </w:rPr>
      </w:pPr>
    </w:p>
    <w:p w14:paraId="6B88AEAD" w14:textId="77777777" w:rsidR="00B37068" w:rsidRPr="00B37068" w:rsidRDefault="00B37068" w:rsidP="006B4011">
      <w:pPr>
        <w:pStyle w:val="ListParagraph"/>
        <w:ind w:left="1843" w:right="697"/>
        <w:rPr>
          <w:rFonts w:ascii="Arial" w:hAnsi="Arial" w:cs="Arial"/>
        </w:rPr>
      </w:pPr>
      <w:r w:rsidRPr="00B37068">
        <w:rPr>
          <w:rFonts w:ascii="Arial" w:hAnsi="Arial" w:cs="Arial"/>
        </w:rPr>
        <w:t>Conditions relating to residence and presence in Great Britain</w:t>
      </w:r>
    </w:p>
    <w:p w14:paraId="75A21FFA" w14:textId="77777777" w:rsidR="00B37068" w:rsidRPr="00B37068" w:rsidRDefault="00B37068" w:rsidP="006B4011">
      <w:pPr>
        <w:pStyle w:val="ListParagraph"/>
        <w:ind w:left="1843" w:right="697"/>
        <w:rPr>
          <w:rFonts w:ascii="Arial" w:hAnsi="Arial" w:cs="Arial"/>
        </w:rPr>
      </w:pPr>
      <w:r w:rsidRPr="00B37068">
        <w:rPr>
          <w:rFonts w:ascii="Arial" w:hAnsi="Arial" w:cs="Arial"/>
        </w:rPr>
        <w:t>16. Subject to the following provisions of this Part, the prescribed conditions for</w:t>
      </w:r>
    </w:p>
    <w:p w14:paraId="67B1A0D8" w14:textId="77777777" w:rsidR="00B37068" w:rsidRPr="00B37068" w:rsidRDefault="00B37068" w:rsidP="006B4011">
      <w:pPr>
        <w:pStyle w:val="ListParagraph"/>
        <w:ind w:left="1843" w:right="697"/>
        <w:rPr>
          <w:rFonts w:ascii="Arial" w:hAnsi="Arial" w:cs="Arial"/>
        </w:rPr>
      </w:pPr>
      <w:r w:rsidRPr="00B37068">
        <w:rPr>
          <w:rFonts w:ascii="Arial" w:hAnsi="Arial" w:cs="Arial"/>
        </w:rPr>
        <w:t>the purposes of section 77(3) of the Act as to residence and presence in Great Britain</w:t>
      </w:r>
    </w:p>
    <w:p w14:paraId="24747562" w14:textId="77777777" w:rsidR="00B37068" w:rsidRPr="00B37068" w:rsidRDefault="00B37068" w:rsidP="006B4011">
      <w:pPr>
        <w:pStyle w:val="ListParagraph"/>
        <w:ind w:left="1843" w:right="697"/>
        <w:rPr>
          <w:rFonts w:ascii="Arial" w:hAnsi="Arial" w:cs="Arial"/>
        </w:rPr>
      </w:pPr>
      <w:r w:rsidRPr="00B37068">
        <w:rPr>
          <w:rFonts w:ascii="Arial" w:hAnsi="Arial" w:cs="Arial"/>
        </w:rPr>
        <w:t>are that on any day for which C claims personal independence payment C–</w:t>
      </w:r>
    </w:p>
    <w:p w14:paraId="22C7EE32" w14:textId="77777777" w:rsidR="00B37068" w:rsidRPr="00B37068" w:rsidRDefault="00B37068" w:rsidP="006B4011">
      <w:pPr>
        <w:pStyle w:val="ListParagraph"/>
        <w:ind w:left="1843" w:right="697"/>
        <w:rPr>
          <w:rFonts w:ascii="Arial" w:hAnsi="Arial" w:cs="Arial"/>
        </w:rPr>
      </w:pPr>
      <w:r w:rsidRPr="00B37068">
        <w:rPr>
          <w:rFonts w:ascii="Arial" w:hAnsi="Arial" w:cs="Arial"/>
        </w:rPr>
        <w:t>(a) is present in Great Britain;</w:t>
      </w:r>
    </w:p>
    <w:p w14:paraId="57FE9B5D" w14:textId="0DF2BF08" w:rsidR="00B37068" w:rsidRPr="00B37068" w:rsidRDefault="00B37068" w:rsidP="006B4011">
      <w:pPr>
        <w:pStyle w:val="ListParagraph"/>
        <w:ind w:left="1843" w:right="697"/>
        <w:rPr>
          <w:rFonts w:ascii="Arial" w:hAnsi="Arial" w:cs="Arial"/>
        </w:rPr>
      </w:pPr>
      <w:r w:rsidRPr="00B37068">
        <w:rPr>
          <w:rFonts w:ascii="Arial" w:hAnsi="Arial" w:cs="Arial"/>
        </w:rPr>
        <w:t>;</w:t>
      </w:r>
    </w:p>
    <w:p w14:paraId="2370F3C3" w14:textId="71544E3D" w:rsidR="00B37068" w:rsidRPr="00B95A44" w:rsidRDefault="00B37068" w:rsidP="006B4011">
      <w:pPr>
        <w:pStyle w:val="ListParagraph"/>
        <w:ind w:left="1843" w:right="697"/>
        <w:rPr>
          <w:rFonts w:ascii="Arial" w:hAnsi="Arial" w:cs="Arial"/>
        </w:rPr>
      </w:pPr>
      <w:r w:rsidRPr="00B37068">
        <w:rPr>
          <w:rFonts w:ascii="Arial" w:hAnsi="Arial" w:cs="Arial"/>
        </w:rPr>
        <w:t>(c) is habitually resident in the United Kingdom, the Republic of Ireland, the</w:t>
      </w:r>
      <w:r w:rsidR="00B95A44">
        <w:rPr>
          <w:rFonts w:ascii="Arial" w:hAnsi="Arial" w:cs="Arial"/>
        </w:rPr>
        <w:t xml:space="preserve"> </w:t>
      </w:r>
      <w:r w:rsidRPr="00B95A44">
        <w:rPr>
          <w:rFonts w:ascii="Arial" w:hAnsi="Arial" w:cs="Arial"/>
        </w:rPr>
        <w:t>Isle of Man or the Channel Islands; and</w:t>
      </w:r>
    </w:p>
    <w:p w14:paraId="3F444CF1" w14:textId="77777777" w:rsidR="00B37068" w:rsidRPr="00B37068" w:rsidRDefault="00B37068" w:rsidP="006B4011">
      <w:pPr>
        <w:pStyle w:val="ListParagraph"/>
        <w:ind w:left="1843" w:right="697"/>
        <w:rPr>
          <w:rFonts w:ascii="Arial" w:hAnsi="Arial" w:cs="Arial"/>
        </w:rPr>
      </w:pPr>
      <w:r w:rsidRPr="00B37068">
        <w:rPr>
          <w:rFonts w:ascii="Arial" w:hAnsi="Arial" w:cs="Arial"/>
        </w:rPr>
        <w:t>(d) is a person–</w:t>
      </w:r>
    </w:p>
    <w:p w14:paraId="3A488FDE" w14:textId="77777777" w:rsidR="00B37068" w:rsidRPr="006B4011" w:rsidRDefault="00B37068" w:rsidP="006B4011">
      <w:pPr>
        <w:pStyle w:val="ListParagraph"/>
        <w:ind w:left="1843" w:right="697"/>
        <w:rPr>
          <w:rFonts w:ascii="Arial" w:hAnsi="Arial" w:cs="Arial"/>
          <w:b/>
          <w:bCs/>
        </w:rPr>
      </w:pPr>
      <w:r w:rsidRPr="00B37068">
        <w:rPr>
          <w:rFonts w:ascii="Arial" w:hAnsi="Arial" w:cs="Arial"/>
        </w:rPr>
        <w:t>(</w:t>
      </w:r>
      <w:r w:rsidRPr="006B4011">
        <w:rPr>
          <w:rFonts w:ascii="Arial" w:hAnsi="Arial" w:cs="Arial"/>
          <w:b/>
          <w:bCs/>
        </w:rPr>
        <w:t xml:space="preserve">i) who is </w:t>
      </w:r>
      <w:r w:rsidRPr="006B4011">
        <w:rPr>
          <w:rFonts w:ascii="Arial" w:hAnsi="Arial" w:cs="Arial"/>
          <w:b/>
          <w:bCs/>
          <w:u w:val="single"/>
        </w:rPr>
        <w:t>not</w:t>
      </w:r>
      <w:r w:rsidRPr="006B4011">
        <w:rPr>
          <w:rFonts w:ascii="Arial" w:hAnsi="Arial" w:cs="Arial"/>
          <w:b/>
          <w:bCs/>
        </w:rPr>
        <w:t xml:space="preserve"> subject to immigration control within the meaning of section</w:t>
      </w:r>
    </w:p>
    <w:p w14:paraId="0CC41B15" w14:textId="77777777" w:rsidR="00B37068" w:rsidRPr="00B37068" w:rsidRDefault="00B37068" w:rsidP="006B4011">
      <w:pPr>
        <w:pStyle w:val="ListParagraph"/>
        <w:ind w:left="1843" w:right="697"/>
        <w:rPr>
          <w:rFonts w:ascii="Arial" w:hAnsi="Arial" w:cs="Arial"/>
        </w:rPr>
      </w:pPr>
      <w:r w:rsidRPr="006B4011">
        <w:rPr>
          <w:rFonts w:ascii="Arial" w:hAnsi="Arial" w:cs="Arial"/>
          <w:b/>
          <w:bCs/>
        </w:rPr>
        <w:t>115(9) of the Immigration and Asylum Act 1999</w:t>
      </w:r>
      <w:r w:rsidRPr="00B37068">
        <w:rPr>
          <w:rFonts w:ascii="Arial" w:hAnsi="Arial" w:cs="Arial"/>
        </w:rPr>
        <w:t>(a); or</w:t>
      </w:r>
    </w:p>
    <w:p w14:paraId="5A4FA987" w14:textId="77777777" w:rsidR="00B37068" w:rsidRPr="00B37068" w:rsidRDefault="00B37068" w:rsidP="006B4011">
      <w:pPr>
        <w:pStyle w:val="ListParagraph"/>
        <w:ind w:left="1843" w:right="697"/>
        <w:rPr>
          <w:rFonts w:ascii="Arial" w:hAnsi="Arial" w:cs="Arial"/>
        </w:rPr>
      </w:pPr>
      <w:r w:rsidRPr="00B37068">
        <w:rPr>
          <w:rFonts w:ascii="Arial" w:hAnsi="Arial" w:cs="Arial"/>
        </w:rPr>
        <w:t>(ii) to whom, by virtue of regulation 2 of the Social Security (Immigration</w:t>
      </w:r>
    </w:p>
    <w:p w14:paraId="3D278306" w14:textId="77777777" w:rsidR="00B37068" w:rsidRPr="00B37068" w:rsidRDefault="00B37068" w:rsidP="006B4011">
      <w:pPr>
        <w:pStyle w:val="ListParagraph"/>
        <w:ind w:left="1843" w:right="697"/>
        <w:rPr>
          <w:rFonts w:ascii="Arial" w:hAnsi="Arial" w:cs="Arial"/>
        </w:rPr>
      </w:pPr>
      <w:r w:rsidRPr="00B37068">
        <w:rPr>
          <w:rFonts w:ascii="Arial" w:hAnsi="Arial" w:cs="Arial"/>
        </w:rPr>
        <w:t>and Asylum) Consequential Amendments Regulations 2000(b), section</w:t>
      </w:r>
    </w:p>
    <w:p w14:paraId="2FDA54FF" w14:textId="77777777" w:rsidR="00B37068" w:rsidRPr="00B37068" w:rsidRDefault="00B37068" w:rsidP="006B4011">
      <w:pPr>
        <w:pStyle w:val="ListParagraph"/>
        <w:ind w:left="1843" w:right="697"/>
        <w:rPr>
          <w:rFonts w:ascii="Arial" w:hAnsi="Arial" w:cs="Arial"/>
        </w:rPr>
      </w:pPr>
      <w:r w:rsidRPr="00B37068">
        <w:rPr>
          <w:rFonts w:ascii="Arial" w:hAnsi="Arial" w:cs="Arial"/>
        </w:rPr>
        <w:t>115 of that Act does not apply for the purpose of personal independence</w:t>
      </w:r>
    </w:p>
    <w:p w14:paraId="0C9F6BE9" w14:textId="65FB8FFA" w:rsidR="00B37068" w:rsidRDefault="00B37068" w:rsidP="006B4011">
      <w:pPr>
        <w:pStyle w:val="ListParagraph"/>
        <w:ind w:left="1843" w:right="697"/>
        <w:rPr>
          <w:rFonts w:ascii="Arial" w:hAnsi="Arial" w:cs="Arial"/>
        </w:rPr>
      </w:pPr>
      <w:r w:rsidRPr="00B37068">
        <w:rPr>
          <w:rFonts w:ascii="Arial" w:hAnsi="Arial" w:cs="Arial"/>
        </w:rPr>
        <w:t>payment.</w:t>
      </w:r>
    </w:p>
    <w:p w14:paraId="3B53E494" w14:textId="77777777" w:rsidR="00D44A35" w:rsidRDefault="00D44A35" w:rsidP="006B4011">
      <w:pPr>
        <w:pStyle w:val="ListParagraph"/>
        <w:ind w:left="1843" w:right="697"/>
        <w:rPr>
          <w:rFonts w:ascii="Arial" w:hAnsi="Arial" w:cs="Arial"/>
        </w:rPr>
      </w:pPr>
    </w:p>
    <w:p w14:paraId="2917A1A1" w14:textId="412CB29F" w:rsidR="00D44A35" w:rsidRDefault="00D44A35" w:rsidP="00D44A35">
      <w:pPr>
        <w:pStyle w:val="ListParagraph"/>
        <w:ind w:left="851" w:right="697"/>
        <w:rPr>
          <w:rFonts w:ascii="Arial" w:hAnsi="Arial" w:cs="Arial"/>
        </w:rPr>
      </w:pPr>
      <w:r>
        <w:rPr>
          <w:rFonts w:ascii="Arial" w:hAnsi="Arial" w:cs="Arial"/>
        </w:rPr>
        <w:t>35.1 S115(</w:t>
      </w:r>
      <w:r w:rsidR="006223A6">
        <w:rPr>
          <w:rFonts w:ascii="Arial" w:hAnsi="Arial" w:cs="Arial"/>
        </w:rPr>
        <w:t>9)</w:t>
      </w:r>
      <w:r w:rsidR="0018009E">
        <w:rPr>
          <w:rFonts w:ascii="Arial" w:hAnsi="Arial" w:cs="Arial"/>
        </w:rPr>
        <w:t xml:space="preserve"> provides</w:t>
      </w:r>
    </w:p>
    <w:p w14:paraId="27A460DD" w14:textId="77777777" w:rsidR="00656FF6" w:rsidRDefault="00656FF6" w:rsidP="00D44A35">
      <w:pPr>
        <w:pStyle w:val="ListParagraph"/>
        <w:ind w:left="851" w:right="697"/>
        <w:rPr>
          <w:rFonts w:ascii="Arial" w:hAnsi="Arial" w:cs="Arial"/>
        </w:rPr>
      </w:pPr>
    </w:p>
    <w:p w14:paraId="0C93DAB3" w14:textId="77777777" w:rsidR="00950485" w:rsidRPr="00950485" w:rsidRDefault="00950485" w:rsidP="00950485">
      <w:pPr>
        <w:pStyle w:val="ListParagraph"/>
        <w:ind w:left="1843" w:right="697"/>
        <w:rPr>
          <w:rFonts w:ascii="Arial" w:hAnsi="Arial" w:cs="Arial"/>
        </w:rPr>
      </w:pPr>
      <w:r w:rsidRPr="00950485">
        <w:rPr>
          <w:rFonts w:ascii="Arial" w:hAnsi="Arial" w:cs="Arial"/>
        </w:rPr>
        <w:t>(9) “A person subject to immigration control” means a person who is</w:t>
      </w:r>
    </w:p>
    <w:p w14:paraId="1F39CBD6" w14:textId="77777777" w:rsidR="00950485" w:rsidRPr="00950485" w:rsidRDefault="00950485" w:rsidP="00950485">
      <w:pPr>
        <w:pStyle w:val="ListParagraph"/>
        <w:ind w:left="1843" w:right="697"/>
        <w:rPr>
          <w:rFonts w:ascii="Arial" w:hAnsi="Arial" w:cs="Arial"/>
        </w:rPr>
      </w:pPr>
      <w:r w:rsidRPr="00950485">
        <w:rPr>
          <w:rFonts w:ascii="Arial" w:hAnsi="Arial" w:cs="Arial"/>
        </w:rPr>
        <w:t>not a national of an EEA State and who—</w:t>
      </w:r>
    </w:p>
    <w:p w14:paraId="074D9D2C" w14:textId="77777777" w:rsidR="00950485" w:rsidRPr="00950485" w:rsidRDefault="00950485" w:rsidP="00950485">
      <w:pPr>
        <w:pStyle w:val="ListParagraph"/>
        <w:ind w:left="1843" w:right="697"/>
        <w:rPr>
          <w:rFonts w:ascii="Arial" w:hAnsi="Arial" w:cs="Arial"/>
        </w:rPr>
      </w:pPr>
      <w:r w:rsidRPr="00950485">
        <w:rPr>
          <w:rFonts w:ascii="Arial" w:hAnsi="Arial" w:cs="Arial"/>
        </w:rPr>
        <w:t>(a) requires leave to enter or remain in the United Kingdom but does</w:t>
      </w:r>
    </w:p>
    <w:p w14:paraId="47935EF3" w14:textId="77777777" w:rsidR="00950485" w:rsidRPr="00950485" w:rsidRDefault="00950485" w:rsidP="00950485">
      <w:pPr>
        <w:pStyle w:val="ListParagraph"/>
        <w:ind w:left="1843" w:right="697"/>
        <w:rPr>
          <w:rFonts w:ascii="Arial" w:hAnsi="Arial" w:cs="Arial"/>
        </w:rPr>
      </w:pPr>
      <w:r w:rsidRPr="00950485">
        <w:rPr>
          <w:rFonts w:ascii="Arial" w:hAnsi="Arial" w:cs="Arial"/>
        </w:rPr>
        <w:t>not have it;</w:t>
      </w:r>
    </w:p>
    <w:p w14:paraId="7BAE726E" w14:textId="77777777" w:rsidR="00950485" w:rsidRPr="00950485" w:rsidRDefault="00950485" w:rsidP="00950485">
      <w:pPr>
        <w:pStyle w:val="ListParagraph"/>
        <w:ind w:left="1843" w:right="697"/>
        <w:rPr>
          <w:rFonts w:ascii="Arial" w:hAnsi="Arial" w:cs="Arial"/>
        </w:rPr>
      </w:pPr>
      <w:r w:rsidRPr="00950485">
        <w:rPr>
          <w:rFonts w:ascii="Arial" w:hAnsi="Arial" w:cs="Arial"/>
        </w:rPr>
        <w:t>(b) has leave to enter or remain in the United Kingdom which is</w:t>
      </w:r>
    </w:p>
    <w:p w14:paraId="6E68E436" w14:textId="77777777" w:rsidR="00950485" w:rsidRPr="00950485" w:rsidRDefault="00950485" w:rsidP="00950485">
      <w:pPr>
        <w:pStyle w:val="ListParagraph"/>
        <w:ind w:left="1843" w:right="697"/>
        <w:rPr>
          <w:rFonts w:ascii="Arial" w:hAnsi="Arial" w:cs="Arial"/>
        </w:rPr>
      </w:pPr>
      <w:r w:rsidRPr="00950485">
        <w:rPr>
          <w:rFonts w:ascii="Arial" w:hAnsi="Arial" w:cs="Arial"/>
        </w:rPr>
        <w:t>subject to a condition that he does not have recourse to public</w:t>
      </w:r>
    </w:p>
    <w:p w14:paraId="4907EE5E" w14:textId="77777777" w:rsidR="00950485" w:rsidRPr="00950485" w:rsidRDefault="00950485" w:rsidP="00950485">
      <w:pPr>
        <w:pStyle w:val="ListParagraph"/>
        <w:ind w:left="1843" w:right="697"/>
        <w:rPr>
          <w:rFonts w:ascii="Arial" w:hAnsi="Arial" w:cs="Arial"/>
        </w:rPr>
      </w:pPr>
      <w:r w:rsidRPr="00950485">
        <w:rPr>
          <w:rFonts w:ascii="Arial" w:hAnsi="Arial" w:cs="Arial"/>
        </w:rPr>
        <w:t>funds;</w:t>
      </w:r>
    </w:p>
    <w:p w14:paraId="505064A3" w14:textId="77777777" w:rsidR="00950485" w:rsidRPr="00950485" w:rsidRDefault="00950485" w:rsidP="00950485">
      <w:pPr>
        <w:pStyle w:val="ListParagraph"/>
        <w:ind w:left="1843" w:right="697"/>
        <w:rPr>
          <w:rFonts w:ascii="Arial" w:hAnsi="Arial" w:cs="Arial"/>
        </w:rPr>
      </w:pPr>
      <w:r w:rsidRPr="00950485">
        <w:rPr>
          <w:rFonts w:ascii="Arial" w:hAnsi="Arial" w:cs="Arial"/>
        </w:rPr>
        <w:t>(c) has leave to enter or remain in the United Kingdom given as a</w:t>
      </w:r>
    </w:p>
    <w:p w14:paraId="3731AEE9" w14:textId="77777777" w:rsidR="00950485" w:rsidRPr="00950485" w:rsidRDefault="00950485" w:rsidP="00950485">
      <w:pPr>
        <w:pStyle w:val="ListParagraph"/>
        <w:ind w:left="1843" w:right="697"/>
        <w:rPr>
          <w:rFonts w:ascii="Arial" w:hAnsi="Arial" w:cs="Arial"/>
        </w:rPr>
      </w:pPr>
      <w:r w:rsidRPr="00950485">
        <w:rPr>
          <w:rFonts w:ascii="Arial" w:hAnsi="Arial" w:cs="Arial"/>
        </w:rPr>
        <w:t>result of a maintenance undertaking; or</w:t>
      </w:r>
    </w:p>
    <w:p w14:paraId="080FF77D" w14:textId="77777777" w:rsidR="00950485" w:rsidRPr="00950485" w:rsidRDefault="00950485" w:rsidP="00950485">
      <w:pPr>
        <w:pStyle w:val="ListParagraph"/>
        <w:ind w:left="1843" w:right="697"/>
        <w:rPr>
          <w:rFonts w:ascii="Arial" w:hAnsi="Arial" w:cs="Arial"/>
        </w:rPr>
      </w:pPr>
      <w:r w:rsidRPr="00950485">
        <w:rPr>
          <w:rFonts w:ascii="Arial" w:hAnsi="Arial" w:cs="Arial"/>
        </w:rPr>
        <w:t>(d) has leave to enter or remain in the United Kingdom only as a</w:t>
      </w:r>
    </w:p>
    <w:p w14:paraId="65C994B9" w14:textId="67963DE4" w:rsidR="00656FF6" w:rsidRDefault="00950485" w:rsidP="00950485">
      <w:pPr>
        <w:pStyle w:val="ListParagraph"/>
        <w:ind w:left="1843" w:right="697"/>
        <w:rPr>
          <w:rFonts w:ascii="Arial" w:hAnsi="Arial" w:cs="Arial"/>
        </w:rPr>
      </w:pPr>
      <w:r w:rsidRPr="00950485">
        <w:rPr>
          <w:rFonts w:ascii="Arial" w:hAnsi="Arial" w:cs="Arial"/>
        </w:rPr>
        <w:t>result of paragraph 17 of Schedule 4</w:t>
      </w:r>
    </w:p>
    <w:p w14:paraId="579E38F6" w14:textId="77777777" w:rsidR="00A928EA" w:rsidRDefault="00A928EA" w:rsidP="00950485">
      <w:pPr>
        <w:pStyle w:val="ListParagraph"/>
        <w:ind w:left="1843" w:right="697"/>
        <w:rPr>
          <w:rFonts w:ascii="Arial" w:hAnsi="Arial" w:cs="Arial"/>
        </w:rPr>
      </w:pPr>
    </w:p>
    <w:p w14:paraId="6BC36FAC" w14:textId="575B3B11" w:rsidR="00A928EA" w:rsidRDefault="00182A40" w:rsidP="00182A40">
      <w:pPr>
        <w:pStyle w:val="ListParagraph"/>
        <w:ind w:left="851" w:right="697"/>
        <w:rPr>
          <w:rFonts w:ascii="Arial" w:hAnsi="Arial" w:cs="Arial"/>
        </w:rPr>
      </w:pPr>
      <w:r>
        <w:rPr>
          <w:rFonts w:ascii="Arial" w:hAnsi="Arial" w:cs="Arial"/>
        </w:rPr>
        <w:t xml:space="preserve">35.2 </w:t>
      </w:r>
      <w:r w:rsidR="00A928EA">
        <w:rPr>
          <w:rFonts w:ascii="Arial" w:hAnsi="Arial" w:cs="Arial"/>
        </w:rPr>
        <w:t xml:space="preserve">Paragraph </w:t>
      </w:r>
      <w:r>
        <w:rPr>
          <w:rFonts w:ascii="Arial" w:hAnsi="Arial" w:cs="Arial"/>
        </w:rPr>
        <w:t>17 of Schedule 4 referred to in S115(9) above</w:t>
      </w:r>
      <w:r w:rsidR="006728F8">
        <w:rPr>
          <w:rFonts w:ascii="Arial" w:hAnsi="Arial" w:cs="Arial"/>
        </w:rPr>
        <w:t xml:space="preserve"> provides</w:t>
      </w:r>
    </w:p>
    <w:p w14:paraId="325DE512" w14:textId="77777777" w:rsidR="006728F8" w:rsidRDefault="006728F8" w:rsidP="00182A40">
      <w:pPr>
        <w:pStyle w:val="ListParagraph"/>
        <w:ind w:left="851" w:right="697"/>
        <w:rPr>
          <w:rFonts w:ascii="Arial" w:hAnsi="Arial" w:cs="Arial"/>
        </w:rPr>
      </w:pPr>
    </w:p>
    <w:p w14:paraId="59B74210" w14:textId="77777777" w:rsidR="0096781C" w:rsidRPr="0096781C" w:rsidRDefault="0096781C" w:rsidP="0096781C">
      <w:pPr>
        <w:pStyle w:val="ListParagraph"/>
        <w:ind w:left="1843" w:right="697"/>
        <w:rPr>
          <w:rFonts w:ascii="Arial" w:hAnsi="Arial" w:cs="Arial"/>
        </w:rPr>
      </w:pPr>
      <w:r w:rsidRPr="0096781C">
        <w:rPr>
          <w:rFonts w:ascii="Arial" w:hAnsi="Arial" w:cs="Arial"/>
        </w:rPr>
        <w:t>Continuation of leave</w:t>
      </w:r>
    </w:p>
    <w:p w14:paraId="666E3AC6" w14:textId="77777777" w:rsidR="0096781C" w:rsidRPr="0096781C" w:rsidRDefault="0096781C" w:rsidP="0096781C">
      <w:pPr>
        <w:pStyle w:val="ListParagraph"/>
        <w:ind w:left="1843" w:right="697"/>
        <w:rPr>
          <w:rFonts w:ascii="Arial" w:hAnsi="Arial" w:cs="Arial"/>
        </w:rPr>
      </w:pPr>
      <w:r w:rsidRPr="0096781C">
        <w:rPr>
          <w:rFonts w:ascii="Arial" w:hAnsi="Arial" w:cs="Arial"/>
        </w:rPr>
        <w:t>17.—(1) While an appeal under section 61 or 69(2) is pending, the leave to</w:t>
      </w:r>
    </w:p>
    <w:p w14:paraId="2DD1AB67" w14:textId="77777777" w:rsidR="0096781C" w:rsidRPr="0096781C" w:rsidRDefault="0096781C" w:rsidP="0096781C">
      <w:pPr>
        <w:pStyle w:val="ListParagraph"/>
        <w:ind w:left="1843" w:right="697"/>
        <w:rPr>
          <w:rFonts w:ascii="Arial" w:hAnsi="Arial" w:cs="Arial"/>
        </w:rPr>
      </w:pPr>
      <w:r w:rsidRPr="0096781C">
        <w:rPr>
          <w:rFonts w:ascii="Arial" w:hAnsi="Arial" w:cs="Arial"/>
        </w:rPr>
        <w:t>which the appeal relates and any conditions subject to which it was granted</w:t>
      </w:r>
    </w:p>
    <w:p w14:paraId="74B821E9" w14:textId="5FA9505A" w:rsidR="006728F8" w:rsidRDefault="0096781C" w:rsidP="0096781C">
      <w:pPr>
        <w:pStyle w:val="ListParagraph"/>
        <w:ind w:left="1843" w:right="697"/>
        <w:rPr>
          <w:rFonts w:ascii="Arial" w:hAnsi="Arial" w:cs="Arial"/>
        </w:rPr>
      </w:pPr>
      <w:r w:rsidRPr="0096781C">
        <w:rPr>
          <w:rFonts w:ascii="Arial" w:hAnsi="Arial" w:cs="Arial"/>
        </w:rPr>
        <w:t>continue to have effect</w:t>
      </w:r>
    </w:p>
    <w:p w14:paraId="4D6AD6DF" w14:textId="73B26670" w:rsidR="00B37068" w:rsidRDefault="00407EF3"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Pr>
          <w:rFonts w:ascii="Arial" w:hAnsi="Arial" w:cs="Arial"/>
        </w:rPr>
        <w:lastRenderedPageBreak/>
        <w:t xml:space="preserve">The starting point in this appeal </w:t>
      </w:r>
      <w:r w:rsidR="006E459D">
        <w:rPr>
          <w:rFonts w:ascii="Arial" w:hAnsi="Arial" w:cs="Arial"/>
        </w:rPr>
        <w:t xml:space="preserve">is that the Respondent determined that Mr </w:t>
      </w:r>
      <w:r w:rsidR="00460419">
        <w:rPr>
          <w:rFonts w:ascii="Arial" w:hAnsi="Arial" w:cs="Arial"/>
        </w:rPr>
        <w:t>X</w:t>
      </w:r>
      <w:r w:rsidR="006E459D">
        <w:rPr>
          <w:rFonts w:ascii="Arial" w:hAnsi="Arial" w:cs="Arial"/>
        </w:rPr>
        <w:t xml:space="preserve"> was entitled to an indefinite award.  </w:t>
      </w:r>
      <w:r w:rsidR="00FA24D6">
        <w:rPr>
          <w:rFonts w:ascii="Arial" w:hAnsi="Arial" w:cs="Arial"/>
        </w:rPr>
        <w:t xml:space="preserve">Mr </w:t>
      </w:r>
      <w:r w:rsidR="00460419">
        <w:rPr>
          <w:rFonts w:ascii="Arial" w:hAnsi="Arial" w:cs="Arial"/>
        </w:rPr>
        <w:t>X</w:t>
      </w:r>
      <w:r w:rsidR="00FA24D6">
        <w:rPr>
          <w:rFonts w:ascii="Arial" w:hAnsi="Arial" w:cs="Arial"/>
        </w:rPr>
        <w:t xml:space="preserve"> </w:t>
      </w:r>
      <w:r w:rsidR="00D16F1C">
        <w:rPr>
          <w:rFonts w:ascii="Arial" w:hAnsi="Arial" w:cs="Arial"/>
        </w:rPr>
        <w:t xml:space="preserve"> was at that time not a person subject to immigration control as defined by S119(5).</w:t>
      </w:r>
      <w:r w:rsidR="00E31534">
        <w:rPr>
          <w:rFonts w:ascii="Arial" w:hAnsi="Arial" w:cs="Arial"/>
        </w:rPr>
        <w:t xml:space="preserve"> He required leave to </w:t>
      </w:r>
      <w:r w:rsidR="00FA24D6">
        <w:rPr>
          <w:rFonts w:ascii="Arial" w:hAnsi="Arial" w:cs="Arial"/>
        </w:rPr>
        <w:t>remain,</w:t>
      </w:r>
      <w:r w:rsidR="00E31534">
        <w:rPr>
          <w:rFonts w:ascii="Arial" w:hAnsi="Arial" w:cs="Arial"/>
        </w:rPr>
        <w:t xml:space="preserve"> but he had leave to remain and </w:t>
      </w:r>
      <w:r w:rsidR="00D25102">
        <w:rPr>
          <w:rFonts w:ascii="Arial" w:hAnsi="Arial" w:cs="Arial"/>
        </w:rPr>
        <w:t>it was not subject to the condition that he did not have recourse to public funds</w:t>
      </w:r>
      <w:r w:rsidR="002F3CE3">
        <w:rPr>
          <w:rFonts w:ascii="Arial" w:hAnsi="Arial" w:cs="Arial"/>
        </w:rPr>
        <w:t>, no</w:t>
      </w:r>
      <w:r w:rsidR="00FA24D6">
        <w:rPr>
          <w:rFonts w:ascii="Arial" w:hAnsi="Arial" w:cs="Arial"/>
        </w:rPr>
        <w:t>r</w:t>
      </w:r>
      <w:r w:rsidR="002F3CE3">
        <w:rPr>
          <w:rFonts w:ascii="Arial" w:hAnsi="Arial" w:cs="Arial"/>
        </w:rPr>
        <w:t xml:space="preserve"> was it subject to a maintenance undertaking </w:t>
      </w:r>
      <w:r w:rsidR="00966C8F">
        <w:rPr>
          <w:rFonts w:ascii="Arial" w:hAnsi="Arial" w:cs="Arial"/>
        </w:rPr>
        <w:t>or as a result of paragraph 17 of Schedule 4</w:t>
      </w:r>
      <w:r w:rsidR="007D091C">
        <w:rPr>
          <w:rFonts w:ascii="Arial" w:hAnsi="Arial" w:cs="Arial"/>
        </w:rPr>
        <w:t>.</w:t>
      </w:r>
    </w:p>
    <w:p w14:paraId="48EF1A6E" w14:textId="77777777" w:rsidR="007D091C" w:rsidRDefault="007D091C" w:rsidP="007D091C">
      <w:pPr>
        <w:pStyle w:val="NormalWeb"/>
        <w:tabs>
          <w:tab w:val="left" w:pos="851"/>
          <w:tab w:val="left" w:pos="9923"/>
        </w:tabs>
        <w:spacing w:before="0" w:beforeAutospacing="0" w:after="0" w:afterAutospacing="0"/>
        <w:ind w:left="851" w:right="555"/>
        <w:rPr>
          <w:rFonts w:ascii="Arial" w:hAnsi="Arial" w:cs="Arial"/>
        </w:rPr>
      </w:pPr>
    </w:p>
    <w:p w14:paraId="615B646B" w14:textId="009D3C06" w:rsidR="007D091C" w:rsidRDefault="007D091C"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Pr>
          <w:rFonts w:ascii="Arial" w:hAnsi="Arial" w:cs="Arial"/>
        </w:rPr>
        <w:t xml:space="preserve">There is nothing in S115(9) which </w:t>
      </w:r>
      <w:r w:rsidR="00E21768">
        <w:rPr>
          <w:rFonts w:ascii="Arial" w:hAnsi="Arial" w:cs="Arial"/>
        </w:rPr>
        <w:t>defines a person subject to immigration control as being someone who has time limited leave</w:t>
      </w:r>
      <w:r w:rsidR="00E02AC3">
        <w:rPr>
          <w:rFonts w:ascii="Arial" w:hAnsi="Arial" w:cs="Arial"/>
        </w:rPr>
        <w:t>.</w:t>
      </w:r>
    </w:p>
    <w:p w14:paraId="5FE90486" w14:textId="77777777" w:rsidR="007F2679" w:rsidRDefault="007F2679" w:rsidP="007F2679">
      <w:pPr>
        <w:pStyle w:val="ListParagraph"/>
        <w:rPr>
          <w:rFonts w:ascii="Arial" w:hAnsi="Arial" w:cs="Arial"/>
        </w:rPr>
      </w:pPr>
    </w:p>
    <w:p w14:paraId="7B6EACD3" w14:textId="3C14B3FC" w:rsidR="007F2679" w:rsidRDefault="007F2679" w:rsidP="008056EF">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Pr>
          <w:rFonts w:ascii="Arial" w:hAnsi="Arial" w:cs="Arial"/>
        </w:rPr>
        <w:t>A person will only become a person subject to immigration control once that person no longer has leave o</w:t>
      </w:r>
      <w:r w:rsidR="00FA24D6">
        <w:rPr>
          <w:rFonts w:ascii="Arial" w:hAnsi="Arial" w:cs="Arial"/>
        </w:rPr>
        <w:t>r</w:t>
      </w:r>
      <w:r>
        <w:rPr>
          <w:rFonts w:ascii="Arial" w:hAnsi="Arial" w:cs="Arial"/>
        </w:rPr>
        <w:t xml:space="preserve"> </w:t>
      </w:r>
      <w:r w:rsidR="00840A61">
        <w:rPr>
          <w:rFonts w:ascii="Arial" w:hAnsi="Arial" w:cs="Arial"/>
        </w:rPr>
        <w:t xml:space="preserve">that leave becomes subject to paragraph 17 of Schedule 4.  </w:t>
      </w:r>
      <w:r w:rsidR="008E6C2D" w:rsidRPr="00255EBE">
        <w:rPr>
          <w:rFonts w:ascii="Arial" w:hAnsi="Arial" w:cs="Arial"/>
          <w:b/>
          <w:bCs/>
          <w:u w:val="single"/>
        </w:rPr>
        <w:t>That event has never happened in the present case</w:t>
      </w:r>
      <w:r w:rsidR="008E6C2D">
        <w:rPr>
          <w:rFonts w:ascii="Arial" w:hAnsi="Arial" w:cs="Arial"/>
        </w:rPr>
        <w:t xml:space="preserve"> </w:t>
      </w:r>
    </w:p>
    <w:p w14:paraId="724F1C14" w14:textId="77777777" w:rsidR="00255EBE" w:rsidRDefault="00255EBE" w:rsidP="00255EBE">
      <w:pPr>
        <w:pStyle w:val="ListParagraph"/>
        <w:rPr>
          <w:rFonts w:ascii="Arial" w:hAnsi="Arial" w:cs="Arial"/>
        </w:rPr>
      </w:pPr>
    </w:p>
    <w:p w14:paraId="41F1BF92" w14:textId="63A01F40" w:rsidR="00255EBE" w:rsidRPr="003E5524" w:rsidRDefault="000866F3" w:rsidP="0097174D">
      <w:pPr>
        <w:pStyle w:val="NormalWeb"/>
        <w:numPr>
          <w:ilvl w:val="0"/>
          <w:numId w:val="22"/>
        </w:numPr>
        <w:tabs>
          <w:tab w:val="left" w:pos="851"/>
          <w:tab w:val="left" w:pos="9923"/>
        </w:tabs>
        <w:spacing w:after="0"/>
        <w:ind w:left="851" w:right="555"/>
        <w:rPr>
          <w:rFonts w:ascii="Arial" w:hAnsi="Arial" w:cs="Arial"/>
        </w:rPr>
      </w:pPr>
      <w:r>
        <w:rPr>
          <w:rFonts w:ascii="Arial" w:hAnsi="Arial" w:cs="Arial"/>
        </w:rPr>
        <w:t xml:space="preserve">I am </w:t>
      </w:r>
      <w:r w:rsidR="00F67937">
        <w:rPr>
          <w:rFonts w:ascii="Arial" w:hAnsi="Arial" w:cs="Arial"/>
        </w:rPr>
        <w:t>reminded that</w:t>
      </w:r>
      <w:r w:rsidR="0097174D">
        <w:rPr>
          <w:rFonts w:ascii="Arial" w:hAnsi="Arial" w:cs="Arial"/>
        </w:rPr>
        <w:t xml:space="preserve"> in </w:t>
      </w:r>
      <w:r w:rsidR="003E5524" w:rsidRPr="003E5524">
        <w:rPr>
          <w:rFonts w:ascii="Arial" w:hAnsi="Arial" w:cs="Arial"/>
        </w:rPr>
        <w:t>MC v Secretary of State for Work and Pensions (ESA)[2014] UKUT 125 (AAC))</w:t>
      </w:r>
      <w:r w:rsidR="007E6EDC">
        <w:rPr>
          <w:rFonts w:ascii="Arial" w:hAnsi="Arial" w:cs="Arial"/>
        </w:rPr>
        <w:t xml:space="preserve"> </w:t>
      </w:r>
      <w:r w:rsidR="007E6EDC" w:rsidRPr="007E6EDC">
        <w:rPr>
          <w:rFonts w:ascii="Arial" w:hAnsi="Arial" w:cs="Arial"/>
        </w:rPr>
        <w:t>[2014] AACR 35</w:t>
      </w:r>
      <w:r w:rsidR="007E6EDC">
        <w:rPr>
          <w:rFonts w:ascii="Arial" w:hAnsi="Arial" w:cs="Arial"/>
        </w:rPr>
        <w:t xml:space="preserve"> </w:t>
      </w:r>
      <w:r>
        <w:rPr>
          <w:rFonts w:ascii="Arial" w:hAnsi="Arial" w:cs="Arial"/>
        </w:rPr>
        <w:t>that Judge Rowland held that although S1A of the Welfare Reform Act 2012 provides</w:t>
      </w:r>
    </w:p>
    <w:p w14:paraId="344F6907" w14:textId="77777777" w:rsidR="000866F3" w:rsidRPr="000866F3" w:rsidRDefault="000866F3" w:rsidP="000866F3">
      <w:pPr>
        <w:spacing w:after="0" w:line="260" w:lineRule="exact"/>
        <w:ind w:left="1985" w:right="1264"/>
        <w:rPr>
          <w:rFonts w:ascii="Arial" w:eastAsia="Times New Roman" w:hAnsi="Arial" w:cs="Arial"/>
          <w:sz w:val="24"/>
          <w:szCs w:val="24"/>
        </w:rPr>
      </w:pPr>
      <w:r w:rsidRPr="000866F3">
        <w:rPr>
          <w:rFonts w:ascii="Arial" w:eastAsia="Times New Roman" w:hAnsi="Arial" w:cs="Arial"/>
          <w:sz w:val="24"/>
          <w:szCs w:val="24"/>
        </w:rPr>
        <w:t>“Duration of contributory allowance</w:t>
      </w:r>
    </w:p>
    <w:p w14:paraId="657D02C3" w14:textId="77777777" w:rsidR="000866F3" w:rsidRPr="000866F3" w:rsidRDefault="000866F3" w:rsidP="000866F3">
      <w:pPr>
        <w:spacing w:after="0" w:line="260" w:lineRule="exact"/>
        <w:ind w:left="1985" w:right="1264"/>
        <w:rPr>
          <w:rFonts w:ascii="Arial" w:eastAsia="Times New Roman" w:hAnsi="Arial" w:cs="Arial"/>
          <w:sz w:val="24"/>
          <w:szCs w:val="24"/>
        </w:rPr>
      </w:pPr>
    </w:p>
    <w:p w14:paraId="07DFEF26" w14:textId="77777777" w:rsidR="000866F3" w:rsidRPr="000866F3" w:rsidRDefault="000866F3" w:rsidP="000866F3">
      <w:pPr>
        <w:spacing w:after="0" w:line="260" w:lineRule="exact"/>
        <w:ind w:left="1985" w:right="1264"/>
        <w:rPr>
          <w:rFonts w:ascii="Arial" w:eastAsia="Times New Roman" w:hAnsi="Arial" w:cs="Arial"/>
          <w:sz w:val="24"/>
          <w:szCs w:val="24"/>
        </w:rPr>
      </w:pPr>
      <w:r w:rsidRPr="000866F3">
        <w:rPr>
          <w:rFonts w:ascii="Arial" w:eastAsia="Times New Roman" w:hAnsi="Arial" w:cs="Arial"/>
          <w:sz w:val="24"/>
          <w:szCs w:val="24"/>
        </w:rPr>
        <w:t>1A. – (1) The period for which a person is entitled to a contributory allowance by virtue of the first and second conditions set out in Part 1 of Schedule 1 shall not exceed, in the aggregate, the relevant maximum number of days in any period for which his entitlement is established by reference (under the second condition set out in Part 1 of Schedule 1) to the same two tax years.</w:t>
      </w:r>
    </w:p>
    <w:p w14:paraId="34E64565" w14:textId="77777777" w:rsidR="000866F3" w:rsidRPr="000866F3" w:rsidRDefault="000866F3" w:rsidP="000866F3">
      <w:pPr>
        <w:spacing w:after="0" w:line="260" w:lineRule="exact"/>
        <w:ind w:left="1985" w:right="1264"/>
        <w:rPr>
          <w:rFonts w:ascii="Arial" w:eastAsia="Times New Roman" w:hAnsi="Arial" w:cs="Arial"/>
          <w:sz w:val="24"/>
          <w:szCs w:val="24"/>
        </w:rPr>
      </w:pPr>
    </w:p>
    <w:p w14:paraId="0100FD33" w14:textId="77777777" w:rsidR="000866F3" w:rsidRPr="000866F3" w:rsidRDefault="000866F3" w:rsidP="000866F3">
      <w:pPr>
        <w:spacing w:after="0" w:line="260" w:lineRule="exact"/>
        <w:ind w:left="1985" w:right="1264"/>
        <w:rPr>
          <w:rFonts w:ascii="Arial" w:eastAsia="Times New Roman" w:hAnsi="Arial" w:cs="Arial"/>
          <w:sz w:val="24"/>
          <w:szCs w:val="24"/>
        </w:rPr>
      </w:pPr>
      <w:r w:rsidRPr="000866F3">
        <w:rPr>
          <w:rFonts w:ascii="Arial" w:eastAsia="Times New Roman" w:hAnsi="Arial" w:cs="Arial"/>
          <w:sz w:val="24"/>
          <w:szCs w:val="24"/>
        </w:rPr>
        <w:t>(2)</w:t>
      </w:r>
      <w:r w:rsidRPr="000866F3">
        <w:rPr>
          <w:rFonts w:ascii="Arial" w:eastAsia="Times New Roman" w:hAnsi="Arial" w:cs="Arial"/>
          <w:sz w:val="24"/>
          <w:szCs w:val="24"/>
        </w:rPr>
        <w:tab/>
        <w:t>In subsection (1) the ‘relevant maximum number of days’ is –</w:t>
      </w:r>
    </w:p>
    <w:p w14:paraId="1DFE4846" w14:textId="77777777" w:rsidR="000866F3" w:rsidRPr="000866F3" w:rsidRDefault="000866F3" w:rsidP="000866F3">
      <w:pPr>
        <w:spacing w:after="0" w:line="260" w:lineRule="exact"/>
        <w:ind w:left="1985" w:right="1264"/>
        <w:rPr>
          <w:rFonts w:ascii="Arial" w:eastAsia="Times New Roman" w:hAnsi="Arial" w:cs="Arial"/>
          <w:sz w:val="24"/>
          <w:szCs w:val="24"/>
        </w:rPr>
      </w:pPr>
    </w:p>
    <w:p w14:paraId="3F27687E" w14:textId="77777777" w:rsidR="000866F3" w:rsidRPr="000866F3" w:rsidRDefault="000866F3" w:rsidP="000866F3">
      <w:pPr>
        <w:spacing w:after="0" w:line="260" w:lineRule="exact"/>
        <w:ind w:left="1985" w:right="1264"/>
        <w:rPr>
          <w:rFonts w:ascii="Arial" w:eastAsia="Times New Roman" w:hAnsi="Arial" w:cs="Arial"/>
          <w:sz w:val="24"/>
          <w:szCs w:val="24"/>
        </w:rPr>
      </w:pPr>
      <w:r w:rsidRPr="000866F3">
        <w:rPr>
          <w:rFonts w:ascii="Arial" w:eastAsia="Times New Roman" w:hAnsi="Arial" w:cs="Arial"/>
          <w:sz w:val="24"/>
          <w:szCs w:val="24"/>
        </w:rPr>
        <w:t>(a)</w:t>
      </w:r>
      <w:r w:rsidRPr="000866F3">
        <w:rPr>
          <w:rFonts w:ascii="Arial" w:eastAsia="Times New Roman" w:hAnsi="Arial" w:cs="Arial"/>
          <w:sz w:val="24"/>
          <w:szCs w:val="24"/>
        </w:rPr>
        <w:tab/>
        <w:t>365 days, or</w:t>
      </w:r>
    </w:p>
    <w:p w14:paraId="65E07E8E" w14:textId="77777777" w:rsidR="000866F3" w:rsidRPr="000866F3" w:rsidRDefault="000866F3" w:rsidP="000866F3">
      <w:pPr>
        <w:spacing w:after="0" w:line="260" w:lineRule="exact"/>
        <w:ind w:left="1985" w:right="1264"/>
        <w:rPr>
          <w:rFonts w:ascii="Arial" w:eastAsia="Times New Roman" w:hAnsi="Arial" w:cs="Arial"/>
          <w:sz w:val="24"/>
          <w:szCs w:val="24"/>
        </w:rPr>
      </w:pPr>
    </w:p>
    <w:p w14:paraId="23DFF8E3" w14:textId="77777777" w:rsidR="000866F3" w:rsidRDefault="000866F3" w:rsidP="000866F3">
      <w:pPr>
        <w:spacing w:after="0" w:line="260" w:lineRule="exact"/>
        <w:ind w:left="1985" w:right="1264"/>
        <w:rPr>
          <w:rFonts w:ascii="Arial" w:eastAsia="Times New Roman" w:hAnsi="Arial" w:cs="Arial"/>
          <w:sz w:val="24"/>
          <w:szCs w:val="24"/>
        </w:rPr>
      </w:pPr>
      <w:r w:rsidRPr="000866F3">
        <w:rPr>
          <w:rFonts w:ascii="Arial" w:eastAsia="Times New Roman" w:hAnsi="Arial" w:cs="Arial"/>
          <w:sz w:val="24"/>
          <w:szCs w:val="24"/>
        </w:rPr>
        <w:t>(b)</w:t>
      </w:r>
      <w:r w:rsidRPr="000866F3">
        <w:rPr>
          <w:rFonts w:ascii="Arial" w:eastAsia="Times New Roman" w:hAnsi="Arial" w:cs="Arial"/>
          <w:sz w:val="24"/>
          <w:szCs w:val="24"/>
        </w:rPr>
        <w:tab/>
        <w:t>if the Secretary of State by order specifies a greater number of days, that number of days.</w:t>
      </w:r>
    </w:p>
    <w:p w14:paraId="78C930C3" w14:textId="77777777" w:rsidR="000866F3" w:rsidRDefault="000866F3" w:rsidP="000866F3">
      <w:pPr>
        <w:spacing w:after="0" w:line="260" w:lineRule="exact"/>
        <w:ind w:left="1985" w:right="1264"/>
        <w:rPr>
          <w:rFonts w:ascii="Arial" w:eastAsia="Times New Roman" w:hAnsi="Arial" w:cs="Arial"/>
          <w:sz w:val="24"/>
          <w:szCs w:val="24"/>
        </w:rPr>
      </w:pPr>
    </w:p>
    <w:p w14:paraId="089A53D0" w14:textId="69B280EF" w:rsidR="00775F2A" w:rsidRDefault="000866F3" w:rsidP="0097174D">
      <w:pPr>
        <w:spacing w:after="0" w:line="260" w:lineRule="exact"/>
        <w:ind w:left="851" w:right="1264"/>
        <w:rPr>
          <w:rFonts w:ascii="Arial" w:eastAsia="Times New Roman" w:hAnsi="Arial" w:cs="Arial"/>
          <w:sz w:val="24"/>
          <w:szCs w:val="24"/>
        </w:rPr>
      </w:pPr>
      <w:r>
        <w:rPr>
          <w:rFonts w:ascii="Arial" w:eastAsia="Times New Roman" w:hAnsi="Arial" w:cs="Arial"/>
          <w:sz w:val="24"/>
          <w:szCs w:val="24"/>
        </w:rPr>
        <w:t xml:space="preserve">The termination of </w:t>
      </w:r>
      <w:r w:rsidR="0097174D">
        <w:rPr>
          <w:rFonts w:ascii="Arial" w:eastAsia="Times New Roman" w:hAnsi="Arial" w:cs="Arial"/>
          <w:sz w:val="24"/>
          <w:szCs w:val="24"/>
        </w:rPr>
        <w:t>contribution-based</w:t>
      </w:r>
      <w:r>
        <w:rPr>
          <w:rFonts w:ascii="Arial" w:eastAsia="Times New Roman" w:hAnsi="Arial" w:cs="Arial"/>
          <w:sz w:val="24"/>
          <w:szCs w:val="24"/>
        </w:rPr>
        <w:t xml:space="preserve"> ESA after 365 days could only be </w:t>
      </w:r>
      <w:r w:rsidR="00FA24D6">
        <w:rPr>
          <w:rFonts w:ascii="Arial" w:eastAsia="Times New Roman" w:hAnsi="Arial" w:cs="Arial"/>
          <w:sz w:val="24"/>
          <w:szCs w:val="24"/>
        </w:rPr>
        <w:t xml:space="preserve">given effect </w:t>
      </w:r>
      <w:r>
        <w:rPr>
          <w:rFonts w:ascii="Arial" w:eastAsia="Times New Roman" w:hAnsi="Arial" w:cs="Arial"/>
          <w:sz w:val="24"/>
          <w:szCs w:val="24"/>
        </w:rPr>
        <w:t xml:space="preserve"> by a superseding decision</w:t>
      </w:r>
      <w:r w:rsidR="00FA24D6">
        <w:rPr>
          <w:rFonts w:ascii="Arial" w:eastAsia="Times New Roman" w:hAnsi="Arial" w:cs="Arial"/>
          <w:sz w:val="24"/>
          <w:szCs w:val="24"/>
        </w:rPr>
        <w:t>,</w:t>
      </w:r>
      <w:r>
        <w:rPr>
          <w:rFonts w:ascii="Arial" w:eastAsia="Times New Roman" w:hAnsi="Arial" w:cs="Arial"/>
          <w:sz w:val="24"/>
          <w:szCs w:val="24"/>
        </w:rPr>
        <w:t xml:space="preserve"> as the initial award on </w:t>
      </w:r>
      <w:r w:rsidR="0097174D">
        <w:rPr>
          <w:rFonts w:ascii="Arial" w:eastAsia="Times New Roman" w:hAnsi="Arial" w:cs="Arial"/>
          <w:sz w:val="24"/>
          <w:szCs w:val="24"/>
        </w:rPr>
        <w:t xml:space="preserve">deciding the initial claim </w:t>
      </w:r>
      <w:r>
        <w:rPr>
          <w:rFonts w:ascii="Arial" w:eastAsia="Times New Roman" w:hAnsi="Arial" w:cs="Arial"/>
          <w:sz w:val="24"/>
          <w:szCs w:val="24"/>
        </w:rPr>
        <w:t>would be for</w:t>
      </w:r>
      <w:r w:rsidR="0097174D">
        <w:rPr>
          <w:rFonts w:ascii="Arial" w:eastAsia="Times New Roman" w:hAnsi="Arial" w:cs="Arial"/>
          <w:sz w:val="24"/>
          <w:szCs w:val="24"/>
        </w:rPr>
        <w:t xml:space="preserve"> an indefinite period.  The superseding decision would be appealable.</w:t>
      </w:r>
    </w:p>
    <w:p w14:paraId="560C73E2" w14:textId="77777777" w:rsidR="0097174D" w:rsidRDefault="0097174D" w:rsidP="000866F3">
      <w:pPr>
        <w:spacing w:after="0" w:line="260" w:lineRule="exact"/>
        <w:ind w:left="426" w:right="1264"/>
        <w:rPr>
          <w:rFonts w:ascii="Arial" w:eastAsia="Times New Roman" w:hAnsi="Arial" w:cs="Arial"/>
          <w:sz w:val="24"/>
          <w:szCs w:val="24"/>
        </w:rPr>
      </w:pPr>
    </w:p>
    <w:p w14:paraId="77D87708" w14:textId="06DA1CF6" w:rsidR="0097174D" w:rsidRDefault="0097174D" w:rsidP="0097174D">
      <w:pPr>
        <w:pStyle w:val="ListParagraph"/>
        <w:numPr>
          <w:ilvl w:val="0"/>
          <w:numId w:val="22"/>
        </w:numPr>
        <w:spacing w:after="0" w:line="260" w:lineRule="exact"/>
        <w:ind w:left="851" w:right="1264"/>
        <w:rPr>
          <w:rFonts w:ascii="Arial" w:eastAsia="Times New Roman" w:hAnsi="Arial" w:cs="Arial"/>
          <w:sz w:val="24"/>
          <w:szCs w:val="24"/>
        </w:rPr>
      </w:pPr>
      <w:r>
        <w:rPr>
          <w:rFonts w:ascii="Arial" w:eastAsia="Times New Roman" w:hAnsi="Arial" w:cs="Arial"/>
          <w:sz w:val="24"/>
          <w:szCs w:val="24"/>
        </w:rPr>
        <w:t xml:space="preserve">It is arguable by analogy with MC that Mr </w:t>
      </w:r>
      <w:r w:rsidR="00460419">
        <w:rPr>
          <w:rFonts w:ascii="Arial" w:eastAsia="Times New Roman" w:hAnsi="Arial" w:cs="Arial"/>
          <w:sz w:val="24"/>
          <w:szCs w:val="24"/>
        </w:rPr>
        <w:t>X</w:t>
      </w:r>
      <w:r>
        <w:rPr>
          <w:rFonts w:ascii="Arial" w:eastAsia="Times New Roman" w:hAnsi="Arial" w:cs="Arial"/>
          <w:sz w:val="24"/>
          <w:szCs w:val="24"/>
        </w:rPr>
        <w:t>’s indefinite PIP award can similarly only be terminated by a superseding decision.</w:t>
      </w:r>
    </w:p>
    <w:p w14:paraId="0FA4FBC9" w14:textId="77777777" w:rsidR="0097174D" w:rsidRDefault="0097174D" w:rsidP="0097174D">
      <w:pPr>
        <w:pStyle w:val="ListParagraph"/>
        <w:spacing w:after="0" w:line="260" w:lineRule="exact"/>
        <w:ind w:left="851" w:right="1264"/>
        <w:rPr>
          <w:rFonts w:ascii="Arial" w:eastAsia="Times New Roman" w:hAnsi="Arial" w:cs="Arial"/>
          <w:sz w:val="24"/>
          <w:szCs w:val="24"/>
        </w:rPr>
      </w:pPr>
    </w:p>
    <w:p w14:paraId="1B745654" w14:textId="23A59A34" w:rsidR="0097174D" w:rsidRDefault="0097174D" w:rsidP="0097174D">
      <w:pPr>
        <w:pStyle w:val="ListParagraph"/>
        <w:numPr>
          <w:ilvl w:val="0"/>
          <w:numId w:val="22"/>
        </w:numPr>
        <w:spacing w:after="0" w:line="260" w:lineRule="exact"/>
        <w:ind w:left="851" w:right="1264"/>
        <w:rPr>
          <w:rFonts w:ascii="Arial" w:eastAsia="Times New Roman" w:hAnsi="Arial" w:cs="Arial"/>
          <w:sz w:val="24"/>
          <w:szCs w:val="24"/>
        </w:rPr>
      </w:pPr>
      <w:r>
        <w:rPr>
          <w:rFonts w:ascii="Arial" w:eastAsia="Times New Roman" w:hAnsi="Arial" w:cs="Arial"/>
          <w:sz w:val="24"/>
          <w:szCs w:val="24"/>
        </w:rPr>
        <w:t xml:space="preserve">The only conceivable ground for terminating Mr </w:t>
      </w:r>
      <w:r w:rsidR="00460419">
        <w:rPr>
          <w:rFonts w:ascii="Arial" w:eastAsia="Times New Roman" w:hAnsi="Arial" w:cs="Arial"/>
          <w:sz w:val="24"/>
          <w:szCs w:val="24"/>
        </w:rPr>
        <w:t>X</w:t>
      </w:r>
      <w:r>
        <w:rPr>
          <w:rFonts w:ascii="Arial" w:eastAsia="Times New Roman" w:hAnsi="Arial" w:cs="Arial"/>
          <w:sz w:val="24"/>
          <w:szCs w:val="24"/>
        </w:rPr>
        <w:t xml:space="preserve">’s award would otherwise be that he had become a person subject to immigration control as defined by S119(5).  </w:t>
      </w:r>
    </w:p>
    <w:p w14:paraId="5920A54A" w14:textId="77777777" w:rsidR="0097174D" w:rsidRPr="0097174D" w:rsidRDefault="0097174D" w:rsidP="0097174D">
      <w:pPr>
        <w:pStyle w:val="ListParagraph"/>
        <w:rPr>
          <w:rFonts w:ascii="Arial" w:eastAsia="Times New Roman" w:hAnsi="Arial" w:cs="Arial"/>
          <w:sz w:val="24"/>
          <w:szCs w:val="24"/>
        </w:rPr>
      </w:pPr>
    </w:p>
    <w:p w14:paraId="5F7C943C" w14:textId="24263EBC" w:rsidR="0097174D" w:rsidRDefault="0097174D" w:rsidP="0097174D">
      <w:pPr>
        <w:pStyle w:val="ListParagraph"/>
        <w:numPr>
          <w:ilvl w:val="0"/>
          <w:numId w:val="22"/>
        </w:numPr>
        <w:spacing w:after="0" w:line="260" w:lineRule="exact"/>
        <w:ind w:left="851" w:right="1264"/>
        <w:rPr>
          <w:rFonts w:ascii="Arial" w:eastAsia="Times New Roman" w:hAnsi="Arial" w:cs="Arial"/>
          <w:sz w:val="24"/>
          <w:szCs w:val="24"/>
        </w:rPr>
      </w:pPr>
      <w:r>
        <w:rPr>
          <w:rFonts w:ascii="Arial" w:eastAsia="Times New Roman" w:hAnsi="Arial" w:cs="Arial"/>
          <w:sz w:val="24"/>
          <w:szCs w:val="24"/>
        </w:rPr>
        <w:t xml:space="preserve">Mr </w:t>
      </w:r>
      <w:r w:rsidR="00460419">
        <w:rPr>
          <w:rFonts w:ascii="Arial" w:eastAsia="Times New Roman" w:hAnsi="Arial" w:cs="Arial"/>
          <w:sz w:val="24"/>
          <w:szCs w:val="24"/>
        </w:rPr>
        <w:t>X</w:t>
      </w:r>
      <w:r>
        <w:rPr>
          <w:rFonts w:ascii="Arial" w:eastAsia="Times New Roman" w:hAnsi="Arial" w:cs="Arial"/>
          <w:sz w:val="24"/>
          <w:szCs w:val="24"/>
        </w:rPr>
        <w:t xml:space="preserve"> was not a person subject to immigration control when he claimed PIP and he has not been subject to immigration control at any time since.</w:t>
      </w:r>
    </w:p>
    <w:p w14:paraId="0AE261B4" w14:textId="77777777" w:rsidR="00F67937" w:rsidRPr="00F67937" w:rsidRDefault="00F67937" w:rsidP="00F67937">
      <w:pPr>
        <w:pStyle w:val="ListParagraph"/>
        <w:rPr>
          <w:rFonts w:ascii="Arial" w:eastAsia="Times New Roman" w:hAnsi="Arial" w:cs="Arial"/>
          <w:sz w:val="24"/>
          <w:szCs w:val="24"/>
        </w:rPr>
      </w:pPr>
    </w:p>
    <w:p w14:paraId="2802B4E4" w14:textId="6AC4A4C5" w:rsidR="00F67937" w:rsidRDefault="00F67937" w:rsidP="0097174D">
      <w:pPr>
        <w:pStyle w:val="ListParagraph"/>
        <w:numPr>
          <w:ilvl w:val="0"/>
          <w:numId w:val="22"/>
        </w:numPr>
        <w:spacing w:after="0" w:line="260" w:lineRule="exact"/>
        <w:ind w:left="851" w:right="1264"/>
        <w:rPr>
          <w:rFonts w:ascii="Arial" w:eastAsia="Times New Roman" w:hAnsi="Arial" w:cs="Arial"/>
          <w:sz w:val="24"/>
          <w:szCs w:val="24"/>
        </w:rPr>
      </w:pPr>
      <w:r>
        <w:rPr>
          <w:rFonts w:ascii="Arial" w:eastAsia="Times New Roman" w:hAnsi="Arial" w:cs="Arial"/>
          <w:sz w:val="24"/>
          <w:szCs w:val="24"/>
        </w:rPr>
        <w:lastRenderedPageBreak/>
        <w:t xml:space="preserve">Mr </w:t>
      </w:r>
      <w:r w:rsidR="00460419">
        <w:rPr>
          <w:rFonts w:ascii="Arial" w:eastAsia="Times New Roman" w:hAnsi="Arial" w:cs="Arial"/>
          <w:sz w:val="24"/>
          <w:szCs w:val="24"/>
        </w:rPr>
        <w:t>X</w:t>
      </w:r>
      <w:r>
        <w:rPr>
          <w:rFonts w:ascii="Arial" w:eastAsia="Times New Roman" w:hAnsi="Arial" w:cs="Arial"/>
          <w:sz w:val="24"/>
          <w:szCs w:val="24"/>
        </w:rPr>
        <w:t xml:space="preserve">’s indefinite award must therefore be reinstated subject to any   information requirements as set out in </w:t>
      </w:r>
      <w:r w:rsidRPr="00F67937">
        <w:rPr>
          <w:rFonts w:ascii="Arial" w:eastAsia="Times New Roman" w:hAnsi="Arial" w:cs="Arial"/>
          <w:sz w:val="24"/>
          <w:szCs w:val="24"/>
        </w:rPr>
        <w:t>Regulation 38 (2) of the Universal Credit (etc) Claims and Payments Regulations 2013</w:t>
      </w:r>
      <w:r>
        <w:rPr>
          <w:rFonts w:ascii="Arial" w:eastAsia="Times New Roman" w:hAnsi="Arial" w:cs="Arial"/>
          <w:sz w:val="24"/>
          <w:szCs w:val="24"/>
        </w:rPr>
        <w:t>.</w:t>
      </w:r>
    </w:p>
    <w:p w14:paraId="465A84BB" w14:textId="77777777" w:rsidR="00F67937" w:rsidRPr="00F67937" w:rsidRDefault="00F67937" w:rsidP="00F67937">
      <w:pPr>
        <w:pStyle w:val="ListParagraph"/>
        <w:rPr>
          <w:rFonts w:ascii="Arial" w:eastAsia="Times New Roman" w:hAnsi="Arial" w:cs="Arial"/>
          <w:sz w:val="24"/>
          <w:szCs w:val="24"/>
        </w:rPr>
      </w:pPr>
    </w:p>
    <w:p w14:paraId="314783E8" w14:textId="69FA85B1" w:rsidR="00F67937" w:rsidRPr="0097174D" w:rsidRDefault="00F67937" w:rsidP="0097174D">
      <w:pPr>
        <w:pStyle w:val="ListParagraph"/>
        <w:numPr>
          <w:ilvl w:val="0"/>
          <w:numId w:val="22"/>
        </w:numPr>
        <w:spacing w:after="0" w:line="260" w:lineRule="exact"/>
        <w:ind w:left="851" w:right="1264"/>
        <w:rPr>
          <w:rFonts w:ascii="Arial" w:eastAsia="Times New Roman" w:hAnsi="Arial" w:cs="Arial"/>
          <w:sz w:val="24"/>
          <w:szCs w:val="24"/>
        </w:rPr>
      </w:pPr>
      <w:r>
        <w:rPr>
          <w:rFonts w:ascii="Arial" w:eastAsia="Times New Roman" w:hAnsi="Arial" w:cs="Arial"/>
          <w:sz w:val="24"/>
          <w:szCs w:val="24"/>
        </w:rPr>
        <w:t>I ask the Tribunal again to allow the appeal for the reasons outlined above.</w:t>
      </w:r>
    </w:p>
    <w:p w14:paraId="089A5442" w14:textId="77777777" w:rsidR="00A6556F" w:rsidRPr="00A6556F" w:rsidRDefault="00A6556F" w:rsidP="00A6556F">
      <w:pPr>
        <w:spacing w:after="0" w:line="240" w:lineRule="auto"/>
        <w:ind w:left="851" w:right="271" w:hanging="425"/>
        <w:rPr>
          <w:rFonts w:ascii="Arial" w:eastAsia="Times New Roman" w:hAnsi="Arial" w:cs="Arial"/>
          <w:sz w:val="24"/>
          <w:szCs w:val="24"/>
        </w:rPr>
      </w:pPr>
      <w:r w:rsidRPr="00A6556F">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089A544F" wp14:editId="089A5450">
            <wp:simplePos x="0" y="0"/>
            <wp:positionH relativeFrom="column">
              <wp:posOffset>466725</wp:posOffset>
            </wp:positionH>
            <wp:positionV relativeFrom="paragraph">
              <wp:posOffset>7620</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089A5443" w14:textId="77777777" w:rsidR="00A6556F" w:rsidRPr="00A6556F" w:rsidRDefault="00A6556F" w:rsidP="00A6556F">
      <w:pPr>
        <w:spacing w:after="0" w:line="240" w:lineRule="auto"/>
        <w:ind w:right="271"/>
        <w:rPr>
          <w:rFonts w:ascii="Arial" w:eastAsia="Times New Roman" w:hAnsi="Arial" w:cs="Arial"/>
          <w:sz w:val="24"/>
          <w:szCs w:val="24"/>
        </w:rPr>
      </w:pPr>
    </w:p>
    <w:p w14:paraId="089A5444" w14:textId="77777777" w:rsidR="00A6556F" w:rsidRPr="00A6556F" w:rsidRDefault="00A6556F" w:rsidP="00A6556F">
      <w:pPr>
        <w:spacing w:after="0" w:line="240" w:lineRule="auto"/>
        <w:ind w:right="271"/>
        <w:rPr>
          <w:rFonts w:ascii="Arial" w:eastAsia="Times New Roman" w:hAnsi="Arial" w:cs="Arial"/>
          <w:sz w:val="24"/>
          <w:szCs w:val="24"/>
        </w:rPr>
      </w:pPr>
    </w:p>
    <w:p w14:paraId="089A5445"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Derek Stainsby</w:t>
      </w:r>
    </w:p>
    <w:p w14:paraId="089A5446"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Welfare Rights Adviser</w:t>
      </w:r>
    </w:p>
    <w:p w14:paraId="089A5447"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 xml:space="preserve">Plumstead Community Law Centre    </w:t>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t xml:space="preserve">            For the Appellant </w:t>
      </w:r>
    </w:p>
    <w:p w14:paraId="089A5448" w14:textId="58677FE7" w:rsidR="007F3B41" w:rsidRDefault="00F67937" w:rsidP="001F1245">
      <w:pPr>
        <w:spacing w:after="0" w:line="240" w:lineRule="auto"/>
        <w:ind w:left="5760" w:right="271" w:firstLine="720"/>
        <w:rPr>
          <w:rFonts w:ascii="Arial" w:eastAsia="Times New Roman" w:hAnsi="Arial" w:cs="Arial"/>
          <w:sz w:val="24"/>
          <w:szCs w:val="24"/>
        </w:rPr>
      </w:pPr>
      <w:r>
        <w:rPr>
          <w:rFonts w:ascii="Arial" w:eastAsia="Times New Roman" w:hAnsi="Arial" w:cs="Arial"/>
          <w:sz w:val="24"/>
          <w:szCs w:val="24"/>
        </w:rPr>
        <w:t>13/05/2023</w:t>
      </w:r>
    </w:p>
    <w:p w14:paraId="089A5449" w14:textId="77777777" w:rsidR="004B4FDF" w:rsidRDefault="004B4FDF" w:rsidP="001F1245">
      <w:pPr>
        <w:spacing w:after="0" w:line="240" w:lineRule="auto"/>
        <w:ind w:left="5760" w:right="271" w:firstLine="720"/>
      </w:pPr>
    </w:p>
    <w:p w14:paraId="089A544E" w14:textId="77777777" w:rsidR="0000545D" w:rsidRPr="0000545D" w:rsidRDefault="0000545D" w:rsidP="0000545D">
      <w:pPr>
        <w:spacing w:after="0" w:line="240" w:lineRule="auto"/>
        <w:ind w:right="271"/>
        <w:rPr>
          <w:rFonts w:ascii="Arial" w:hAnsi="Arial" w:cs="Arial"/>
          <w:sz w:val="24"/>
          <w:szCs w:val="24"/>
        </w:rPr>
      </w:pPr>
    </w:p>
    <w:sectPr w:rsidR="0000545D" w:rsidRPr="0000545D">
      <w:footerReference w:type="even" r:id="rId9"/>
      <w:footerReference w:type="default" r:id="rId10"/>
      <w:pgSz w:w="11906" w:h="16838" w:code="9"/>
      <w:pgMar w:top="1440" w:right="720" w:bottom="850" w:left="850" w:header="709" w:footer="709" w:gutter="0"/>
      <w:paperSrc w:first="259"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A5BC" w14:textId="77777777" w:rsidR="00657F2F" w:rsidRDefault="00657F2F">
      <w:pPr>
        <w:spacing w:after="0" w:line="240" w:lineRule="auto"/>
      </w:pPr>
      <w:r>
        <w:separator/>
      </w:r>
    </w:p>
  </w:endnote>
  <w:endnote w:type="continuationSeparator" w:id="0">
    <w:p w14:paraId="0490E783" w14:textId="77777777" w:rsidR="00657F2F" w:rsidRDefault="0065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455" w14:textId="77777777" w:rsidR="00AD7C5C" w:rsidRDefault="00AD7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A5456" w14:textId="77777777" w:rsidR="00AD7C5C" w:rsidRDefault="00AD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457" w14:textId="77777777" w:rsidR="00AD7C5C" w:rsidRDefault="00AD7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78D">
      <w:rPr>
        <w:rStyle w:val="PageNumber"/>
        <w:noProof/>
      </w:rPr>
      <w:t>14</w:t>
    </w:r>
    <w:r>
      <w:rPr>
        <w:rStyle w:val="PageNumber"/>
      </w:rPr>
      <w:fldChar w:fldCharType="end"/>
    </w:r>
  </w:p>
  <w:p w14:paraId="089A5458" w14:textId="77777777" w:rsidR="00AD7C5C" w:rsidRDefault="00AD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8F0C" w14:textId="77777777" w:rsidR="00657F2F" w:rsidRDefault="00657F2F">
      <w:pPr>
        <w:spacing w:after="0" w:line="240" w:lineRule="auto"/>
      </w:pPr>
      <w:r>
        <w:separator/>
      </w:r>
    </w:p>
  </w:footnote>
  <w:footnote w:type="continuationSeparator" w:id="0">
    <w:p w14:paraId="52BB4782" w14:textId="77777777" w:rsidR="00657F2F" w:rsidRDefault="0065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822"/>
    <w:multiLevelType w:val="multilevel"/>
    <w:tmpl w:val="D71282B8"/>
    <w:lvl w:ilvl="0">
      <w:start w:val="22"/>
      <w:numFmt w:val="decimal"/>
      <w:lvlText w:val="%1"/>
      <w:lvlJc w:val="left"/>
      <w:pPr>
        <w:ind w:left="607" w:hanging="465"/>
      </w:pPr>
      <w:rPr>
        <w:rFonts w:hint="default"/>
        <w:sz w:val="24"/>
        <w:szCs w:val="24"/>
      </w:rPr>
    </w:lvl>
    <w:lvl w:ilvl="1">
      <w:start w:val="1"/>
      <w:numFmt w:val="decimal"/>
      <w:lvlText w:val="%1.%2"/>
      <w:lvlJc w:val="left"/>
      <w:pPr>
        <w:ind w:left="1676" w:hanging="465"/>
      </w:pPr>
      <w:rPr>
        <w:rFonts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1" w15:restartNumberingAfterBreak="0">
    <w:nsid w:val="0AFA4E38"/>
    <w:multiLevelType w:val="multilevel"/>
    <w:tmpl w:val="0D780BA6"/>
    <w:lvl w:ilvl="0">
      <w:start w:val="19"/>
      <w:numFmt w:val="decimal"/>
      <w:lvlText w:val="%1"/>
      <w:lvlJc w:val="left"/>
      <w:pPr>
        <w:ind w:left="465" w:hanging="465"/>
      </w:pPr>
      <w:rPr>
        <w:rFonts w:hint="default"/>
      </w:rPr>
    </w:lvl>
    <w:lvl w:ilvl="1">
      <w:start w:val="5"/>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2700D03"/>
    <w:multiLevelType w:val="multilevel"/>
    <w:tmpl w:val="F0D4BE62"/>
    <w:lvl w:ilvl="0">
      <w:start w:val="7"/>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9101D71"/>
    <w:multiLevelType w:val="multilevel"/>
    <w:tmpl w:val="0CB28630"/>
    <w:lvl w:ilvl="0">
      <w:start w:val="2"/>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9DC3838"/>
    <w:multiLevelType w:val="hybridMultilevel"/>
    <w:tmpl w:val="E4F66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96723"/>
    <w:multiLevelType w:val="multilevel"/>
    <w:tmpl w:val="FA5C577C"/>
    <w:lvl w:ilvl="0">
      <w:start w:val="1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31260B"/>
    <w:multiLevelType w:val="multilevel"/>
    <w:tmpl w:val="6144CA4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512499"/>
    <w:multiLevelType w:val="multilevel"/>
    <w:tmpl w:val="98429158"/>
    <w:lvl w:ilvl="0">
      <w:start w:val="10"/>
      <w:numFmt w:val="decimal"/>
      <w:lvlText w:val="%1"/>
      <w:lvlJc w:val="left"/>
      <w:pPr>
        <w:ind w:left="465" w:hanging="465"/>
      </w:pPr>
      <w:rPr>
        <w:rFonts w:hint="default"/>
        <w:b w:val="0"/>
        <w:i w:val="0"/>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C365916"/>
    <w:multiLevelType w:val="multilevel"/>
    <w:tmpl w:val="ACD6086C"/>
    <w:lvl w:ilvl="0">
      <w:start w:val="30"/>
      <w:numFmt w:val="decimal"/>
      <w:lvlText w:val="%1"/>
      <w:lvlJc w:val="left"/>
      <w:pPr>
        <w:ind w:left="360" w:hanging="360"/>
      </w:pPr>
      <w:rPr>
        <w:rFonts w:hint="default"/>
        <w:b w:val="0"/>
        <w:bCs w:val="0"/>
      </w:rPr>
    </w:lvl>
    <w:lvl w:ilvl="1">
      <w:start w:val="2"/>
      <w:numFmt w:val="decimal"/>
      <w:lvlText w:val="%1.%2"/>
      <w:lvlJc w:val="left"/>
      <w:pPr>
        <w:ind w:left="1069" w:hanging="360"/>
      </w:pPr>
      <w:rPr>
        <w:rFonts w:hint="default"/>
        <w:b w:val="0"/>
        <w:bCs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091773"/>
    <w:multiLevelType w:val="hybridMultilevel"/>
    <w:tmpl w:val="962E0828"/>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0" w15:restartNumberingAfterBreak="0">
    <w:nsid w:val="3A022329"/>
    <w:multiLevelType w:val="multilevel"/>
    <w:tmpl w:val="C1EC108E"/>
    <w:lvl w:ilvl="0">
      <w:start w:val="19"/>
      <w:numFmt w:val="decimal"/>
      <w:lvlText w:val="%1."/>
      <w:lvlJc w:val="left"/>
      <w:pPr>
        <w:ind w:left="1211" w:hanging="360"/>
      </w:pPr>
      <w:rPr>
        <w:rFonts w:hint="default"/>
        <w:sz w:val="24"/>
      </w:rPr>
    </w:lvl>
    <w:lvl w:ilvl="1">
      <w:start w:val="4"/>
      <w:numFmt w:val="decimal"/>
      <w:isLgl/>
      <w:lvlText w:val="%1.%2"/>
      <w:lvlJc w:val="left"/>
      <w:pPr>
        <w:ind w:left="1458"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11" w15:restartNumberingAfterBreak="0">
    <w:nsid w:val="3A341E40"/>
    <w:multiLevelType w:val="multilevel"/>
    <w:tmpl w:val="5D202C8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4059453F"/>
    <w:multiLevelType w:val="multilevel"/>
    <w:tmpl w:val="FC84F3F2"/>
    <w:lvl w:ilvl="0">
      <w:start w:val="5"/>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42605CE"/>
    <w:multiLevelType w:val="multilevel"/>
    <w:tmpl w:val="0C8813CA"/>
    <w:lvl w:ilvl="0">
      <w:start w:val="31"/>
      <w:numFmt w:val="decimal"/>
      <w:lvlText w:val="%1"/>
      <w:lvlJc w:val="left"/>
      <w:pPr>
        <w:ind w:left="465" w:hanging="465"/>
      </w:pPr>
      <w:rPr>
        <w:rFonts w:hint="default"/>
        <w:b w:val="0"/>
        <w:bCs w:val="0"/>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435B5A"/>
    <w:multiLevelType w:val="hybridMultilevel"/>
    <w:tmpl w:val="9754F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2194F"/>
    <w:multiLevelType w:val="multilevel"/>
    <w:tmpl w:val="3120EE02"/>
    <w:lvl w:ilvl="0">
      <w:start w:val="6"/>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592D596D"/>
    <w:multiLevelType w:val="multilevel"/>
    <w:tmpl w:val="0688FF34"/>
    <w:lvl w:ilvl="0">
      <w:start w:val="19"/>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9817725"/>
    <w:multiLevelType w:val="multilevel"/>
    <w:tmpl w:val="87DA2896"/>
    <w:lvl w:ilvl="0">
      <w:start w:val="9"/>
      <w:numFmt w:val="decimal"/>
      <w:lvlText w:val="%1"/>
      <w:lvlJc w:val="left"/>
      <w:pPr>
        <w:ind w:left="465" w:hanging="465"/>
      </w:pPr>
      <w:rPr>
        <w:rFonts w:hint="default"/>
      </w:rPr>
    </w:lvl>
    <w:lvl w:ilvl="1">
      <w:start w:val="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C9A4E72"/>
    <w:multiLevelType w:val="multilevel"/>
    <w:tmpl w:val="86D8791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2520DF7"/>
    <w:multiLevelType w:val="multilevel"/>
    <w:tmpl w:val="37F8A9C6"/>
    <w:lvl w:ilvl="0">
      <w:start w:val="23"/>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21" w15:restartNumberingAfterBreak="0">
    <w:nsid w:val="76D64EEB"/>
    <w:multiLevelType w:val="multilevel"/>
    <w:tmpl w:val="45960324"/>
    <w:lvl w:ilvl="0">
      <w:start w:val="20"/>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C995FF5"/>
    <w:multiLevelType w:val="multilevel"/>
    <w:tmpl w:val="88269578"/>
    <w:lvl w:ilvl="0">
      <w:start w:val="16"/>
      <w:numFmt w:val="decimal"/>
      <w:lvlText w:val="%1"/>
      <w:lvlJc w:val="left"/>
      <w:pPr>
        <w:ind w:left="786" w:hanging="360"/>
      </w:pPr>
      <w:rPr>
        <w:rFonts w:hint="default"/>
      </w:rPr>
    </w:lvl>
    <w:lvl w:ilvl="1">
      <w:start w:val="2"/>
      <w:numFmt w:val="decimal"/>
      <w:lvlText w:val="%1.%2"/>
      <w:lvlJc w:val="left"/>
      <w:pPr>
        <w:ind w:left="1212" w:hanging="360"/>
      </w:pPr>
      <w:rPr>
        <w:rFonts w:hint="default"/>
        <w:b w:val="0"/>
      </w:rPr>
    </w:lvl>
    <w:lvl w:ilvl="2">
      <w:start w:val="1"/>
      <w:numFmt w:val="decimal"/>
      <w:lvlText w:val="%1.%2.%3"/>
      <w:lvlJc w:val="left"/>
      <w:pPr>
        <w:ind w:left="1998"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996"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08" w:hanging="1800"/>
      </w:pPr>
      <w:rPr>
        <w:rFonts w:hint="default"/>
      </w:rPr>
    </w:lvl>
    <w:lvl w:ilvl="8">
      <w:start w:val="1"/>
      <w:numFmt w:val="decimal"/>
      <w:lvlText w:val="%1.%2.%3.%4.%5.%6.%7.%8.%9"/>
      <w:lvlJc w:val="left"/>
      <w:pPr>
        <w:ind w:left="5634" w:hanging="1800"/>
      </w:pPr>
      <w:rPr>
        <w:rFonts w:hint="default"/>
      </w:rPr>
    </w:lvl>
  </w:abstractNum>
  <w:num w:numId="1" w16cid:durableId="711349677">
    <w:abstractNumId w:val="19"/>
  </w:num>
  <w:num w:numId="2" w16cid:durableId="289674144">
    <w:abstractNumId w:val="12"/>
  </w:num>
  <w:num w:numId="3" w16cid:durableId="1874804838">
    <w:abstractNumId w:val="3"/>
  </w:num>
  <w:num w:numId="4" w16cid:durableId="1469394255">
    <w:abstractNumId w:val="22"/>
  </w:num>
  <w:num w:numId="5" w16cid:durableId="719287137">
    <w:abstractNumId w:val="0"/>
  </w:num>
  <w:num w:numId="6" w16cid:durableId="1146356964">
    <w:abstractNumId w:val="21"/>
  </w:num>
  <w:num w:numId="7" w16cid:durableId="1526289291">
    <w:abstractNumId w:val="18"/>
  </w:num>
  <w:num w:numId="8" w16cid:durableId="1743601856">
    <w:abstractNumId w:val="20"/>
  </w:num>
  <w:num w:numId="9" w16cid:durableId="1689788467">
    <w:abstractNumId w:val="7"/>
  </w:num>
  <w:num w:numId="10" w16cid:durableId="222445085">
    <w:abstractNumId w:val="17"/>
  </w:num>
  <w:num w:numId="11" w16cid:durableId="592594681">
    <w:abstractNumId w:val="15"/>
  </w:num>
  <w:num w:numId="12" w16cid:durableId="1355302735">
    <w:abstractNumId w:val="2"/>
  </w:num>
  <w:num w:numId="13" w16cid:durableId="490101854">
    <w:abstractNumId w:val="6"/>
  </w:num>
  <w:num w:numId="14" w16cid:durableId="922959442">
    <w:abstractNumId w:val="11"/>
  </w:num>
  <w:num w:numId="15" w16cid:durableId="1558777459">
    <w:abstractNumId w:val="16"/>
  </w:num>
  <w:num w:numId="16" w16cid:durableId="1161117799">
    <w:abstractNumId w:val="10"/>
  </w:num>
  <w:num w:numId="17" w16cid:durableId="1516964093">
    <w:abstractNumId w:val="1"/>
  </w:num>
  <w:num w:numId="18" w16cid:durableId="1200896375">
    <w:abstractNumId w:val="9"/>
  </w:num>
  <w:num w:numId="19" w16cid:durableId="329673991">
    <w:abstractNumId w:val="8"/>
  </w:num>
  <w:num w:numId="20" w16cid:durableId="304550170">
    <w:abstractNumId w:val="14"/>
  </w:num>
  <w:num w:numId="21" w16cid:durableId="1275166210">
    <w:abstractNumId w:val="5"/>
  </w:num>
  <w:num w:numId="22" w16cid:durableId="501548323">
    <w:abstractNumId w:val="13"/>
  </w:num>
  <w:num w:numId="23" w16cid:durableId="457638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6F"/>
    <w:rsid w:val="00002D82"/>
    <w:rsid w:val="00004949"/>
    <w:rsid w:val="0000545D"/>
    <w:rsid w:val="0001207C"/>
    <w:rsid w:val="00016D47"/>
    <w:rsid w:val="00020585"/>
    <w:rsid w:val="00021924"/>
    <w:rsid w:val="00037A33"/>
    <w:rsid w:val="00054227"/>
    <w:rsid w:val="0007575C"/>
    <w:rsid w:val="000773A8"/>
    <w:rsid w:val="000866F3"/>
    <w:rsid w:val="00096DEC"/>
    <w:rsid w:val="000A5DDD"/>
    <w:rsid w:val="000B0092"/>
    <w:rsid w:val="000B2D70"/>
    <w:rsid w:val="000B5DFC"/>
    <w:rsid w:val="000D1F78"/>
    <w:rsid w:val="00102B11"/>
    <w:rsid w:val="00105F12"/>
    <w:rsid w:val="001218BA"/>
    <w:rsid w:val="0012434D"/>
    <w:rsid w:val="00132B55"/>
    <w:rsid w:val="00140427"/>
    <w:rsid w:val="00163981"/>
    <w:rsid w:val="0017723A"/>
    <w:rsid w:val="0018009E"/>
    <w:rsid w:val="00182A40"/>
    <w:rsid w:val="00187CB4"/>
    <w:rsid w:val="00191A8F"/>
    <w:rsid w:val="0019329D"/>
    <w:rsid w:val="00194D8E"/>
    <w:rsid w:val="001A2D66"/>
    <w:rsid w:val="001B1D0B"/>
    <w:rsid w:val="001C310F"/>
    <w:rsid w:val="001F1245"/>
    <w:rsid w:val="001F7BF6"/>
    <w:rsid w:val="002116C6"/>
    <w:rsid w:val="00220C55"/>
    <w:rsid w:val="0022566B"/>
    <w:rsid w:val="00231C1E"/>
    <w:rsid w:val="002346C4"/>
    <w:rsid w:val="0024709F"/>
    <w:rsid w:val="00255EBE"/>
    <w:rsid w:val="002632BB"/>
    <w:rsid w:val="00266F64"/>
    <w:rsid w:val="002703BD"/>
    <w:rsid w:val="00272848"/>
    <w:rsid w:val="00273CE3"/>
    <w:rsid w:val="00276A9D"/>
    <w:rsid w:val="002977E3"/>
    <w:rsid w:val="002F1258"/>
    <w:rsid w:val="002F2043"/>
    <w:rsid w:val="002F3CE3"/>
    <w:rsid w:val="003227BA"/>
    <w:rsid w:val="003301F1"/>
    <w:rsid w:val="00332827"/>
    <w:rsid w:val="00337CEC"/>
    <w:rsid w:val="00350375"/>
    <w:rsid w:val="003579A6"/>
    <w:rsid w:val="0036329B"/>
    <w:rsid w:val="00376DD6"/>
    <w:rsid w:val="003B24A2"/>
    <w:rsid w:val="003B278D"/>
    <w:rsid w:val="003B5465"/>
    <w:rsid w:val="003C63C3"/>
    <w:rsid w:val="003E5524"/>
    <w:rsid w:val="003F7FDA"/>
    <w:rsid w:val="00407EF3"/>
    <w:rsid w:val="00415DD5"/>
    <w:rsid w:val="004216A1"/>
    <w:rsid w:val="00434A97"/>
    <w:rsid w:val="00435806"/>
    <w:rsid w:val="00452895"/>
    <w:rsid w:val="0045341E"/>
    <w:rsid w:val="00460419"/>
    <w:rsid w:val="004636FC"/>
    <w:rsid w:val="00496809"/>
    <w:rsid w:val="004B4822"/>
    <w:rsid w:val="004B4FDF"/>
    <w:rsid w:val="004C17CD"/>
    <w:rsid w:val="004C3BC7"/>
    <w:rsid w:val="004D69FC"/>
    <w:rsid w:val="004D7574"/>
    <w:rsid w:val="004D7FA9"/>
    <w:rsid w:val="004E42F0"/>
    <w:rsid w:val="004F27B8"/>
    <w:rsid w:val="004F61A4"/>
    <w:rsid w:val="00500C51"/>
    <w:rsid w:val="00532321"/>
    <w:rsid w:val="00534304"/>
    <w:rsid w:val="00556367"/>
    <w:rsid w:val="005755E7"/>
    <w:rsid w:val="0058053B"/>
    <w:rsid w:val="00585D35"/>
    <w:rsid w:val="005A4EB2"/>
    <w:rsid w:val="005B51AE"/>
    <w:rsid w:val="005B7E61"/>
    <w:rsid w:val="005E3C22"/>
    <w:rsid w:val="005E706C"/>
    <w:rsid w:val="005F01DD"/>
    <w:rsid w:val="005F129A"/>
    <w:rsid w:val="005F14FD"/>
    <w:rsid w:val="006223A6"/>
    <w:rsid w:val="0063450D"/>
    <w:rsid w:val="006424C6"/>
    <w:rsid w:val="00643FA3"/>
    <w:rsid w:val="00644045"/>
    <w:rsid w:val="0064621C"/>
    <w:rsid w:val="00650D61"/>
    <w:rsid w:val="00656FF6"/>
    <w:rsid w:val="00657F2F"/>
    <w:rsid w:val="00670239"/>
    <w:rsid w:val="006728F8"/>
    <w:rsid w:val="0067718D"/>
    <w:rsid w:val="00680B05"/>
    <w:rsid w:val="00682A37"/>
    <w:rsid w:val="00690ECB"/>
    <w:rsid w:val="00692734"/>
    <w:rsid w:val="00697C2B"/>
    <w:rsid w:val="006B3070"/>
    <w:rsid w:val="006B4011"/>
    <w:rsid w:val="006D648E"/>
    <w:rsid w:val="006E25B6"/>
    <w:rsid w:val="006E459D"/>
    <w:rsid w:val="006E5B98"/>
    <w:rsid w:val="007056A0"/>
    <w:rsid w:val="007073ED"/>
    <w:rsid w:val="007178B0"/>
    <w:rsid w:val="007411DC"/>
    <w:rsid w:val="00745700"/>
    <w:rsid w:val="007635D0"/>
    <w:rsid w:val="00770AE0"/>
    <w:rsid w:val="00771A0D"/>
    <w:rsid w:val="00775F2A"/>
    <w:rsid w:val="0079706D"/>
    <w:rsid w:val="007B08CB"/>
    <w:rsid w:val="007B532F"/>
    <w:rsid w:val="007D091C"/>
    <w:rsid w:val="007E021C"/>
    <w:rsid w:val="007E318A"/>
    <w:rsid w:val="007E6EDC"/>
    <w:rsid w:val="007F2679"/>
    <w:rsid w:val="007F3B41"/>
    <w:rsid w:val="00803EB2"/>
    <w:rsid w:val="008047C6"/>
    <w:rsid w:val="008056EF"/>
    <w:rsid w:val="008067A8"/>
    <w:rsid w:val="00812406"/>
    <w:rsid w:val="00812E6C"/>
    <w:rsid w:val="00824396"/>
    <w:rsid w:val="00830F0F"/>
    <w:rsid w:val="00840A61"/>
    <w:rsid w:val="00862086"/>
    <w:rsid w:val="00874846"/>
    <w:rsid w:val="00876B1E"/>
    <w:rsid w:val="0088192F"/>
    <w:rsid w:val="00884141"/>
    <w:rsid w:val="008B3362"/>
    <w:rsid w:val="008B71C6"/>
    <w:rsid w:val="008D131A"/>
    <w:rsid w:val="008D3377"/>
    <w:rsid w:val="008E1307"/>
    <w:rsid w:val="008E4C94"/>
    <w:rsid w:val="008E6C2D"/>
    <w:rsid w:val="008F1677"/>
    <w:rsid w:val="00912700"/>
    <w:rsid w:val="00923B2D"/>
    <w:rsid w:val="009247DA"/>
    <w:rsid w:val="00924C5B"/>
    <w:rsid w:val="00944D04"/>
    <w:rsid w:val="00950139"/>
    <w:rsid w:val="00950485"/>
    <w:rsid w:val="0096458F"/>
    <w:rsid w:val="00966C8F"/>
    <w:rsid w:val="0096781C"/>
    <w:rsid w:val="0097174D"/>
    <w:rsid w:val="009744C7"/>
    <w:rsid w:val="00983785"/>
    <w:rsid w:val="009A3B48"/>
    <w:rsid w:val="009A4839"/>
    <w:rsid w:val="009B14B4"/>
    <w:rsid w:val="009B3205"/>
    <w:rsid w:val="009C24F2"/>
    <w:rsid w:val="009C2F14"/>
    <w:rsid w:val="009C6B8D"/>
    <w:rsid w:val="009F17F4"/>
    <w:rsid w:val="009F4182"/>
    <w:rsid w:val="00A214BE"/>
    <w:rsid w:val="00A24E67"/>
    <w:rsid w:val="00A45811"/>
    <w:rsid w:val="00A503DE"/>
    <w:rsid w:val="00A6556F"/>
    <w:rsid w:val="00A65ED6"/>
    <w:rsid w:val="00A857DE"/>
    <w:rsid w:val="00A85EDF"/>
    <w:rsid w:val="00A928EA"/>
    <w:rsid w:val="00A956AB"/>
    <w:rsid w:val="00AA77DF"/>
    <w:rsid w:val="00AB5A0A"/>
    <w:rsid w:val="00AC592C"/>
    <w:rsid w:val="00AD7C5C"/>
    <w:rsid w:val="00AF649F"/>
    <w:rsid w:val="00B17F06"/>
    <w:rsid w:val="00B21148"/>
    <w:rsid w:val="00B24537"/>
    <w:rsid w:val="00B32CD0"/>
    <w:rsid w:val="00B36CB5"/>
    <w:rsid w:val="00B37068"/>
    <w:rsid w:val="00B420B4"/>
    <w:rsid w:val="00B46CD6"/>
    <w:rsid w:val="00B54D4E"/>
    <w:rsid w:val="00B6229A"/>
    <w:rsid w:val="00B63E58"/>
    <w:rsid w:val="00B76C98"/>
    <w:rsid w:val="00B77434"/>
    <w:rsid w:val="00B95A44"/>
    <w:rsid w:val="00B95EB8"/>
    <w:rsid w:val="00BA1FC9"/>
    <w:rsid w:val="00BD2932"/>
    <w:rsid w:val="00BE2187"/>
    <w:rsid w:val="00BE5F1D"/>
    <w:rsid w:val="00BF1253"/>
    <w:rsid w:val="00C03AA5"/>
    <w:rsid w:val="00C04479"/>
    <w:rsid w:val="00C05E91"/>
    <w:rsid w:val="00C16212"/>
    <w:rsid w:val="00C16F4A"/>
    <w:rsid w:val="00C43665"/>
    <w:rsid w:val="00C658DA"/>
    <w:rsid w:val="00C6619B"/>
    <w:rsid w:val="00C8401A"/>
    <w:rsid w:val="00C90E71"/>
    <w:rsid w:val="00CB58C3"/>
    <w:rsid w:val="00CB7638"/>
    <w:rsid w:val="00CC5841"/>
    <w:rsid w:val="00CD3FD7"/>
    <w:rsid w:val="00D00543"/>
    <w:rsid w:val="00D16F1C"/>
    <w:rsid w:val="00D179C1"/>
    <w:rsid w:val="00D2330E"/>
    <w:rsid w:val="00D25102"/>
    <w:rsid w:val="00D313BA"/>
    <w:rsid w:val="00D31842"/>
    <w:rsid w:val="00D40533"/>
    <w:rsid w:val="00D43588"/>
    <w:rsid w:val="00D44A35"/>
    <w:rsid w:val="00D44AB5"/>
    <w:rsid w:val="00D538E6"/>
    <w:rsid w:val="00D71227"/>
    <w:rsid w:val="00D71D35"/>
    <w:rsid w:val="00D74481"/>
    <w:rsid w:val="00D81E0E"/>
    <w:rsid w:val="00D91E3A"/>
    <w:rsid w:val="00D927CF"/>
    <w:rsid w:val="00DA4816"/>
    <w:rsid w:val="00DB03CB"/>
    <w:rsid w:val="00DB7F47"/>
    <w:rsid w:val="00DC42FB"/>
    <w:rsid w:val="00DC48B7"/>
    <w:rsid w:val="00DD2123"/>
    <w:rsid w:val="00DD3B7C"/>
    <w:rsid w:val="00DF286D"/>
    <w:rsid w:val="00E02AC3"/>
    <w:rsid w:val="00E053C2"/>
    <w:rsid w:val="00E21768"/>
    <w:rsid w:val="00E2367E"/>
    <w:rsid w:val="00E25165"/>
    <w:rsid w:val="00E25D27"/>
    <w:rsid w:val="00E31534"/>
    <w:rsid w:val="00E537B4"/>
    <w:rsid w:val="00E56BAA"/>
    <w:rsid w:val="00E60A1D"/>
    <w:rsid w:val="00E63049"/>
    <w:rsid w:val="00E80344"/>
    <w:rsid w:val="00E865A5"/>
    <w:rsid w:val="00E87013"/>
    <w:rsid w:val="00E9542D"/>
    <w:rsid w:val="00EA5C4A"/>
    <w:rsid w:val="00EB1659"/>
    <w:rsid w:val="00EB6881"/>
    <w:rsid w:val="00ED60E2"/>
    <w:rsid w:val="00ED6396"/>
    <w:rsid w:val="00ED639B"/>
    <w:rsid w:val="00ED65CC"/>
    <w:rsid w:val="00EE18D4"/>
    <w:rsid w:val="00F07B94"/>
    <w:rsid w:val="00F1672C"/>
    <w:rsid w:val="00F201C1"/>
    <w:rsid w:val="00F20DB8"/>
    <w:rsid w:val="00F2246D"/>
    <w:rsid w:val="00F343D5"/>
    <w:rsid w:val="00F408BD"/>
    <w:rsid w:val="00F457D1"/>
    <w:rsid w:val="00F458AA"/>
    <w:rsid w:val="00F57EC4"/>
    <w:rsid w:val="00F65501"/>
    <w:rsid w:val="00F67610"/>
    <w:rsid w:val="00F67937"/>
    <w:rsid w:val="00F705C0"/>
    <w:rsid w:val="00F71948"/>
    <w:rsid w:val="00F85666"/>
    <w:rsid w:val="00F87A1A"/>
    <w:rsid w:val="00F96144"/>
    <w:rsid w:val="00F97293"/>
    <w:rsid w:val="00FA24D6"/>
    <w:rsid w:val="00FB6818"/>
    <w:rsid w:val="00FB7360"/>
    <w:rsid w:val="00FC0413"/>
    <w:rsid w:val="00FC09D5"/>
    <w:rsid w:val="00FC2C03"/>
    <w:rsid w:val="00FD119E"/>
    <w:rsid w:val="00FE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533D"/>
  <w15:docId w15:val="{73CCBAC3-E141-4067-BC6C-80EAF21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56F"/>
  </w:style>
  <w:style w:type="character" w:styleId="PageNumber">
    <w:name w:val="page number"/>
    <w:basedOn w:val="DefaultParagraphFont"/>
    <w:rsid w:val="00A6556F"/>
  </w:style>
  <w:style w:type="paragraph" w:styleId="ListParagraph">
    <w:name w:val="List Paragraph"/>
    <w:basedOn w:val="Normal"/>
    <w:uiPriority w:val="34"/>
    <w:qFormat/>
    <w:rsid w:val="001F1245"/>
    <w:pPr>
      <w:ind w:left="720"/>
      <w:contextualSpacing/>
    </w:pPr>
  </w:style>
  <w:style w:type="paragraph" w:styleId="BalloonText">
    <w:name w:val="Balloon Text"/>
    <w:basedOn w:val="Normal"/>
    <w:link w:val="BalloonTextChar"/>
    <w:uiPriority w:val="99"/>
    <w:semiHidden/>
    <w:unhideWhenUsed/>
    <w:rsid w:val="0003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3"/>
    <w:rPr>
      <w:rFonts w:ascii="Tahoma" w:hAnsi="Tahoma" w:cs="Tahoma"/>
      <w:sz w:val="16"/>
      <w:szCs w:val="16"/>
    </w:rPr>
  </w:style>
  <w:style w:type="character" w:styleId="CommentReference">
    <w:name w:val="annotation reference"/>
    <w:basedOn w:val="DefaultParagraphFont"/>
    <w:uiPriority w:val="99"/>
    <w:semiHidden/>
    <w:unhideWhenUsed/>
    <w:rsid w:val="000B5DFC"/>
    <w:rPr>
      <w:sz w:val="16"/>
      <w:szCs w:val="16"/>
    </w:rPr>
  </w:style>
  <w:style w:type="paragraph" w:styleId="CommentText">
    <w:name w:val="annotation text"/>
    <w:basedOn w:val="Normal"/>
    <w:link w:val="CommentTextChar"/>
    <w:uiPriority w:val="99"/>
    <w:semiHidden/>
    <w:unhideWhenUsed/>
    <w:rsid w:val="000B5DFC"/>
    <w:pPr>
      <w:spacing w:line="240" w:lineRule="auto"/>
    </w:pPr>
    <w:rPr>
      <w:sz w:val="20"/>
      <w:szCs w:val="20"/>
    </w:rPr>
  </w:style>
  <w:style w:type="character" w:customStyle="1" w:styleId="CommentTextChar">
    <w:name w:val="Comment Text Char"/>
    <w:basedOn w:val="DefaultParagraphFont"/>
    <w:link w:val="CommentText"/>
    <w:uiPriority w:val="99"/>
    <w:semiHidden/>
    <w:rsid w:val="000B5DFC"/>
    <w:rPr>
      <w:sz w:val="20"/>
      <w:szCs w:val="20"/>
    </w:rPr>
  </w:style>
  <w:style w:type="paragraph" w:styleId="CommentSubject">
    <w:name w:val="annotation subject"/>
    <w:basedOn w:val="CommentText"/>
    <w:next w:val="CommentText"/>
    <w:link w:val="CommentSubjectChar"/>
    <w:uiPriority w:val="99"/>
    <w:semiHidden/>
    <w:unhideWhenUsed/>
    <w:rsid w:val="000B5DFC"/>
    <w:rPr>
      <w:b/>
      <w:bCs/>
    </w:rPr>
  </w:style>
  <w:style w:type="character" w:customStyle="1" w:styleId="CommentSubjectChar">
    <w:name w:val="Comment Subject Char"/>
    <w:basedOn w:val="CommentTextChar"/>
    <w:link w:val="CommentSubject"/>
    <w:uiPriority w:val="99"/>
    <w:semiHidden/>
    <w:rsid w:val="000B5DFC"/>
    <w:rPr>
      <w:b/>
      <w:bCs/>
      <w:sz w:val="20"/>
      <w:szCs w:val="20"/>
    </w:rPr>
  </w:style>
  <w:style w:type="paragraph" w:styleId="Revision">
    <w:name w:val="Revision"/>
    <w:hidden/>
    <w:uiPriority w:val="99"/>
    <w:semiHidden/>
    <w:rsid w:val="000B5DFC"/>
    <w:pPr>
      <w:spacing w:after="0" w:line="240" w:lineRule="auto"/>
    </w:pPr>
  </w:style>
  <w:style w:type="paragraph" w:styleId="NormalWeb">
    <w:name w:val="Normal (Web)"/>
    <w:basedOn w:val="Normal"/>
    <w:rsid w:val="007073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557">
      <w:bodyDiv w:val="1"/>
      <w:marLeft w:val="0"/>
      <w:marRight w:val="0"/>
      <w:marTop w:val="0"/>
      <w:marBottom w:val="0"/>
      <w:divBdr>
        <w:top w:val="none" w:sz="0" w:space="0" w:color="auto"/>
        <w:left w:val="none" w:sz="0" w:space="0" w:color="auto"/>
        <w:bottom w:val="none" w:sz="0" w:space="0" w:color="auto"/>
        <w:right w:val="none" w:sz="0" w:space="0" w:color="auto"/>
      </w:divBdr>
    </w:div>
    <w:div w:id="401801642">
      <w:bodyDiv w:val="1"/>
      <w:marLeft w:val="0"/>
      <w:marRight w:val="0"/>
      <w:marTop w:val="0"/>
      <w:marBottom w:val="0"/>
      <w:divBdr>
        <w:top w:val="none" w:sz="0" w:space="0" w:color="auto"/>
        <w:left w:val="none" w:sz="0" w:space="0" w:color="auto"/>
        <w:bottom w:val="none" w:sz="0" w:space="0" w:color="auto"/>
        <w:right w:val="none" w:sz="0" w:space="0" w:color="auto"/>
      </w:divBdr>
      <w:divsChild>
        <w:div w:id="1634676056">
          <w:marLeft w:val="0"/>
          <w:marRight w:val="0"/>
          <w:marTop w:val="0"/>
          <w:marBottom w:val="0"/>
          <w:divBdr>
            <w:top w:val="none" w:sz="0" w:space="0" w:color="auto"/>
            <w:left w:val="none" w:sz="0" w:space="0" w:color="auto"/>
            <w:bottom w:val="none" w:sz="0" w:space="0" w:color="auto"/>
            <w:right w:val="none" w:sz="0" w:space="0" w:color="auto"/>
          </w:divBdr>
          <w:divsChild>
            <w:div w:id="255293117">
              <w:marLeft w:val="0"/>
              <w:marRight w:val="0"/>
              <w:marTop w:val="0"/>
              <w:marBottom w:val="0"/>
              <w:divBdr>
                <w:top w:val="none" w:sz="0" w:space="0" w:color="auto"/>
                <w:left w:val="none" w:sz="0" w:space="0" w:color="auto"/>
                <w:bottom w:val="none" w:sz="0" w:space="0" w:color="auto"/>
                <w:right w:val="none" w:sz="0" w:space="0" w:color="auto"/>
              </w:divBdr>
              <w:divsChild>
                <w:div w:id="1610509874">
                  <w:marLeft w:val="0"/>
                  <w:marRight w:val="0"/>
                  <w:marTop w:val="0"/>
                  <w:marBottom w:val="0"/>
                  <w:divBdr>
                    <w:top w:val="none" w:sz="0" w:space="0" w:color="auto"/>
                    <w:left w:val="none" w:sz="0" w:space="0" w:color="auto"/>
                    <w:bottom w:val="none" w:sz="0" w:space="0" w:color="auto"/>
                    <w:right w:val="none" w:sz="0" w:space="0" w:color="auto"/>
                  </w:divBdr>
                  <w:divsChild>
                    <w:div w:id="64840974">
                      <w:marLeft w:val="0"/>
                      <w:marRight w:val="0"/>
                      <w:marTop w:val="0"/>
                      <w:marBottom w:val="0"/>
                      <w:divBdr>
                        <w:top w:val="none" w:sz="0" w:space="0" w:color="auto"/>
                        <w:left w:val="none" w:sz="0" w:space="0" w:color="auto"/>
                        <w:bottom w:val="none" w:sz="0" w:space="0" w:color="auto"/>
                        <w:right w:val="none" w:sz="0" w:space="0" w:color="auto"/>
                      </w:divBdr>
                      <w:divsChild>
                        <w:div w:id="254629717">
                          <w:marLeft w:val="0"/>
                          <w:marRight w:val="0"/>
                          <w:marTop w:val="0"/>
                          <w:marBottom w:val="0"/>
                          <w:divBdr>
                            <w:top w:val="none" w:sz="0" w:space="0" w:color="auto"/>
                            <w:left w:val="none" w:sz="0" w:space="0" w:color="auto"/>
                            <w:bottom w:val="none" w:sz="0" w:space="0" w:color="auto"/>
                            <w:right w:val="none" w:sz="0" w:space="0" w:color="auto"/>
                          </w:divBdr>
                          <w:divsChild>
                            <w:div w:id="11675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43633">
      <w:bodyDiv w:val="1"/>
      <w:marLeft w:val="0"/>
      <w:marRight w:val="0"/>
      <w:marTop w:val="0"/>
      <w:marBottom w:val="0"/>
      <w:divBdr>
        <w:top w:val="none" w:sz="0" w:space="0" w:color="auto"/>
        <w:left w:val="none" w:sz="0" w:space="0" w:color="auto"/>
        <w:bottom w:val="none" w:sz="0" w:space="0" w:color="auto"/>
        <w:right w:val="none" w:sz="0" w:space="0" w:color="auto"/>
      </w:divBdr>
    </w:div>
    <w:div w:id="685060348">
      <w:bodyDiv w:val="1"/>
      <w:marLeft w:val="0"/>
      <w:marRight w:val="0"/>
      <w:marTop w:val="0"/>
      <w:marBottom w:val="0"/>
      <w:divBdr>
        <w:top w:val="none" w:sz="0" w:space="0" w:color="auto"/>
        <w:left w:val="none" w:sz="0" w:space="0" w:color="auto"/>
        <w:bottom w:val="none" w:sz="0" w:space="0" w:color="auto"/>
        <w:right w:val="none" w:sz="0" w:space="0" w:color="auto"/>
      </w:divBdr>
    </w:div>
    <w:div w:id="1735200716">
      <w:bodyDiv w:val="1"/>
      <w:marLeft w:val="0"/>
      <w:marRight w:val="0"/>
      <w:marTop w:val="0"/>
      <w:marBottom w:val="0"/>
      <w:divBdr>
        <w:top w:val="none" w:sz="0" w:space="0" w:color="auto"/>
        <w:left w:val="none" w:sz="0" w:space="0" w:color="auto"/>
        <w:bottom w:val="none" w:sz="0" w:space="0" w:color="auto"/>
        <w:right w:val="none" w:sz="0" w:space="0" w:color="auto"/>
      </w:divBdr>
    </w:div>
    <w:div w:id="1816222449">
      <w:bodyDiv w:val="1"/>
      <w:marLeft w:val="0"/>
      <w:marRight w:val="0"/>
      <w:marTop w:val="0"/>
      <w:marBottom w:val="0"/>
      <w:divBdr>
        <w:top w:val="none" w:sz="0" w:space="0" w:color="auto"/>
        <w:left w:val="none" w:sz="0" w:space="0" w:color="auto"/>
        <w:bottom w:val="none" w:sz="0" w:space="0" w:color="auto"/>
        <w:right w:val="none" w:sz="0" w:space="0" w:color="auto"/>
      </w:divBdr>
      <w:divsChild>
        <w:div w:id="1596598648">
          <w:marLeft w:val="0"/>
          <w:marRight w:val="0"/>
          <w:marTop w:val="0"/>
          <w:marBottom w:val="0"/>
          <w:divBdr>
            <w:top w:val="none" w:sz="0" w:space="0" w:color="auto"/>
            <w:left w:val="none" w:sz="0" w:space="0" w:color="auto"/>
            <w:bottom w:val="none" w:sz="0" w:space="0" w:color="auto"/>
            <w:right w:val="none" w:sz="0" w:space="0" w:color="auto"/>
          </w:divBdr>
          <w:divsChild>
            <w:div w:id="1509296431">
              <w:marLeft w:val="0"/>
              <w:marRight w:val="0"/>
              <w:marTop w:val="0"/>
              <w:marBottom w:val="0"/>
              <w:divBdr>
                <w:top w:val="none" w:sz="0" w:space="0" w:color="auto"/>
                <w:left w:val="none" w:sz="0" w:space="0" w:color="auto"/>
                <w:bottom w:val="none" w:sz="0" w:space="0" w:color="auto"/>
                <w:right w:val="none" w:sz="0" w:space="0" w:color="auto"/>
              </w:divBdr>
              <w:divsChild>
                <w:div w:id="1024870170">
                  <w:marLeft w:val="0"/>
                  <w:marRight w:val="0"/>
                  <w:marTop w:val="0"/>
                  <w:marBottom w:val="0"/>
                  <w:divBdr>
                    <w:top w:val="none" w:sz="0" w:space="0" w:color="auto"/>
                    <w:left w:val="none" w:sz="0" w:space="0" w:color="auto"/>
                    <w:bottom w:val="none" w:sz="0" w:space="0" w:color="auto"/>
                    <w:right w:val="none" w:sz="0" w:space="0" w:color="auto"/>
                  </w:divBdr>
                  <w:divsChild>
                    <w:div w:id="1229534440">
                      <w:marLeft w:val="0"/>
                      <w:marRight w:val="0"/>
                      <w:marTop w:val="0"/>
                      <w:marBottom w:val="0"/>
                      <w:divBdr>
                        <w:top w:val="none" w:sz="0" w:space="0" w:color="auto"/>
                        <w:left w:val="none" w:sz="0" w:space="0" w:color="auto"/>
                        <w:bottom w:val="none" w:sz="0" w:space="0" w:color="auto"/>
                        <w:right w:val="none" w:sz="0" w:space="0" w:color="auto"/>
                      </w:divBdr>
                      <w:divsChild>
                        <w:div w:id="819615802">
                          <w:marLeft w:val="0"/>
                          <w:marRight w:val="0"/>
                          <w:marTop w:val="0"/>
                          <w:marBottom w:val="0"/>
                          <w:divBdr>
                            <w:top w:val="none" w:sz="0" w:space="0" w:color="auto"/>
                            <w:left w:val="none" w:sz="0" w:space="0" w:color="auto"/>
                            <w:bottom w:val="none" w:sz="0" w:space="0" w:color="auto"/>
                            <w:right w:val="none" w:sz="0" w:space="0" w:color="auto"/>
                          </w:divBdr>
                          <w:divsChild>
                            <w:div w:id="1520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25DB-3289-4EAA-9ACB-3BF3FB3C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3</cp:revision>
  <cp:lastPrinted>2018-06-12T07:33:00Z</cp:lastPrinted>
  <dcterms:created xsi:type="dcterms:W3CDTF">2023-10-10T13:02:00Z</dcterms:created>
  <dcterms:modified xsi:type="dcterms:W3CDTF">2023-10-10T13:03:00Z</dcterms:modified>
</cp:coreProperties>
</file>