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526"/>
        <w:gridCol w:w="3092"/>
        <w:gridCol w:w="3145"/>
        <w:gridCol w:w="2018"/>
      </w:tblGrid>
      <w:tr w:rsidR="00A6556F" w:rsidRPr="00950139" w14:paraId="089A533F" w14:textId="77777777" w:rsidTr="00D2330E">
        <w:tc>
          <w:tcPr>
            <w:tcW w:w="4618" w:type="dxa"/>
            <w:gridSpan w:val="2"/>
          </w:tcPr>
          <w:p w14:paraId="089A533D" w14:textId="77777777" w:rsidR="00A6556F" w:rsidRPr="00950139" w:rsidRDefault="009B14B4" w:rsidP="00A6556F">
            <w:pPr>
              <w:spacing w:after="0" w:line="240" w:lineRule="auto"/>
              <w:rPr>
                <w:rFonts w:ascii="Arial" w:eastAsia="Times New Roman" w:hAnsi="Arial" w:cs="Arial"/>
                <w:sz w:val="24"/>
                <w:szCs w:val="24"/>
                <w:lang w:eastAsia="ja-JP"/>
              </w:rPr>
            </w:pPr>
            <w:r>
              <w:rPr>
                <w:rFonts w:ascii="Arial" w:eastAsia="Times New Roman" w:hAnsi="Arial" w:cs="Arial"/>
                <w:sz w:val="24"/>
                <w:szCs w:val="24"/>
                <w:lang w:eastAsia="ja-JP"/>
              </w:rPr>
              <w:t>In The First Tier Tribunal (Social Entitlement Chamber)</w:t>
            </w:r>
          </w:p>
        </w:tc>
        <w:tc>
          <w:tcPr>
            <w:tcW w:w="5163" w:type="dxa"/>
            <w:gridSpan w:val="2"/>
          </w:tcPr>
          <w:p w14:paraId="089A533E" w14:textId="0D75C1F3" w:rsidR="00A6556F" w:rsidRPr="00950139" w:rsidRDefault="00A6556F" w:rsidP="00A6556F">
            <w:pPr>
              <w:spacing w:after="0" w:line="240" w:lineRule="auto"/>
              <w:jc w:val="right"/>
              <w:rPr>
                <w:rFonts w:ascii="Arial" w:eastAsia="Times New Roman" w:hAnsi="Arial" w:cs="Arial"/>
                <w:sz w:val="24"/>
                <w:szCs w:val="24"/>
                <w:lang w:eastAsia="ja-JP"/>
              </w:rPr>
            </w:pPr>
            <w:r w:rsidRPr="00950139">
              <w:rPr>
                <w:rFonts w:ascii="Arial" w:eastAsia="Times New Roman" w:hAnsi="Arial" w:cs="Arial"/>
                <w:sz w:val="24"/>
                <w:szCs w:val="24"/>
                <w:lang w:eastAsia="ja-JP"/>
              </w:rPr>
              <w:t>Case No:</w:t>
            </w:r>
            <w:r w:rsidRPr="00950139">
              <w:rPr>
                <w:rFonts w:ascii="Arial" w:eastAsia="Times New Roman" w:hAnsi="Arial" w:cs="Arial"/>
                <w:sz w:val="24"/>
                <w:szCs w:val="24"/>
              </w:rPr>
              <w:t xml:space="preserve"> </w:t>
            </w:r>
            <w:r w:rsidR="00F1672C">
              <w:rPr>
                <w:rFonts w:ascii="Arial" w:eastAsia="Times New Roman" w:hAnsi="Arial" w:cs="Arial"/>
                <w:sz w:val="24"/>
                <w:szCs w:val="24"/>
              </w:rPr>
              <w:t>6</w:t>
            </w:r>
          </w:p>
        </w:tc>
      </w:tr>
      <w:tr w:rsidR="009B14B4" w:rsidRPr="00950139" w14:paraId="089A5342" w14:textId="77777777" w:rsidTr="00D2330E">
        <w:tc>
          <w:tcPr>
            <w:tcW w:w="4618" w:type="dxa"/>
            <w:gridSpan w:val="2"/>
          </w:tcPr>
          <w:p w14:paraId="089A5340" w14:textId="77777777" w:rsidR="009B14B4" w:rsidRPr="00950139" w:rsidRDefault="009B14B4" w:rsidP="00A6556F">
            <w:pPr>
              <w:spacing w:after="0" w:line="240" w:lineRule="auto"/>
              <w:rPr>
                <w:rFonts w:ascii="Arial" w:eastAsia="Times New Roman" w:hAnsi="Arial" w:cs="Arial"/>
                <w:sz w:val="24"/>
                <w:szCs w:val="24"/>
                <w:lang w:eastAsia="ja-JP"/>
              </w:rPr>
            </w:pPr>
          </w:p>
        </w:tc>
        <w:tc>
          <w:tcPr>
            <w:tcW w:w="5163" w:type="dxa"/>
            <w:gridSpan w:val="2"/>
          </w:tcPr>
          <w:p w14:paraId="089A5341" w14:textId="77777777" w:rsidR="009B14B4" w:rsidRPr="00950139" w:rsidRDefault="009B14B4" w:rsidP="00A6556F">
            <w:pPr>
              <w:spacing w:after="0" w:line="240" w:lineRule="auto"/>
              <w:jc w:val="right"/>
              <w:rPr>
                <w:rFonts w:ascii="Arial" w:eastAsia="Times New Roman" w:hAnsi="Arial" w:cs="Arial"/>
                <w:sz w:val="24"/>
                <w:szCs w:val="24"/>
                <w:lang w:eastAsia="ja-JP"/>
              </w:rPr>
            </w:pPr>
          </w:p>
        </w:tc>
      </w:tr>
      <w:tr w:rsidR="00A6556F" w:rsidRPr="00950139" w14:paraId="089A5344" w14:textId="77777777" w:rsidTr="00D2330E">
        <w:trPr>
          <w:cantSplit/>
        </w:trPr>
        <w:tc>
          <w:tcPr>
            <w:tcW w:w="9781" w:type="dxa"/>
            <w:gridSpan w:val="4"/>
          </w:tcPr>
          <w:p w14:paraId="089A5343" w14:textId="77777777" w:rsidR="00A6556F" w:rsidRPr="00950139" w:rsidRDefault="00A6556F" w:rsidP="00A6556F">
            <w:pPr>
              <w:spacing w:after="0" w:line="240" w:lineRule="auto"/>
              <w:rPr>
                <w:rFonts w:ascii="Arial" w:eastAsia="Times New Roman" w:hAnsi="Arial" w:cs="Arial"/>
                <w:sz w:val="24"/>
                <w:szCs w:val="24"/>
                <w:lang w:eastAsia="ja-JP"/>
              </w:rPr>
            </w:pPr>
            <w:r w:rsidRPr="00950139">
              <w:rPr>
                <w:rFonts w:ascii="Arial" w:eastAsia="Times New Roman" w:hAnsi="Arial" w:cs="Arial"/>
                <w:sz w:val="24"/>
                <w:szCs w:val="24"/>
                <w:lang w:eastAsia="ja-JP"/>
              </w:rPr>
              <w:t>BETWEEN:</w:t>
            </w:r>
          </w:p>
        </w:tc>
      </w:tr>
      <w:tr w:rsidR="00A6556F" w:rsidRPr="00950139" w14:paraId="089A5348" w14:textId="77777777" w:rsidTr="00D2330E">
        <w:trPr>
          <w:cantSplit/>
        </w:trPr>
        <w:tc>
          <w:tcPr>
            <w:tcW w:w="1526" w:type="dxa"/>
            <w:vAlign w:val="center"/>
          </w:tcPr>
          <w:p w14:paraId="089A5345"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089A5346" w14:textId="7F1DB795" w:rsidR="00A6556F" w:rsidRPr="00950139" w:rsidRDefault="00F457D1" w:rsidP="001C310F">
            <w:pPr>
              <w:spacing w:after="0" w:line="240" w:lineRule="auto"/>
              <w:jc w:val="center"/>
              <w:rPr>
                <w:rFonts w:ascii="Arial" w:eastAsia="Times New Roman" w:hAnsi="Arial" w:cs="Arial"/>
                <w:sz w:val="24"/>
                <w:szCs w:val="24"/>
                <w:lang w:eastAsia="ja-JP"/>
              </w:rPr>
            </w:pPr>
            <w:r>
              <w:rPr>
                <w:rFonts w:ascii="Arial" w:eastAsia="Times New Roman" w:hAnsi="Arial" w:cs="Arial"/>
                <w:sz w:val="24"/>
                <w:szCs w:val="24"/>
                <w:lang w:eastAsia="ja-JP"/>
              </w:rPr>
              <w:t xml:space="preserve">MR </w:t>
            </w:r>
            <w:r w:rsidR="00E3398E">
              <w:rPr>
                <w:rFonts w:ascii="Arial" w:eastAsia="Times New Roman" w:hAnsi="Arial" w:cs="Arial"/>
                <w:sz w:val="24"/>
                <w:szCs w:val="24"/>
                <w:lang w:eastAsia="ja-JP"/>
              </w:rPr>
              <w:t>X</w:t>
            </w:r>
          </w:p>
        </w:tc>
        <w:tc>
          <w:tcPr>
            <w:tcW w:w="2018" w:type="dxa"/>
            <w:vAlign w:val="center"/>
          </w:tcPr>
          <w:p w14:paraId="089A5347"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Appellant</w:t>
            </w:r>
          </w:p>
        </w:tc>
      </w:tr>
      <w:tr w:rsidR="00A6556F" w:rsidRPr="00950139" w14:paraId="089A534C" w14:textId="77777777" w:rsidTr="00D2330E">
        <w:trPr>
          <w:cantSplit/>
          <w:trHeight w:val="95"/>
        </w:trPr>
        <w:tc>
          <w:tcPr>
            <w:tcW w:w="1526" w:type="dxa"/>
            <w:vAlign w:val="center"/>
          </w:tcPr>
          <w:p w14:paraId="089A5349"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Pr>
          <w:p w14:paraId="089A534A" w14:textId="77777777" w:rsidR="00A6556F" w:rsidRPr="00950139" w:rsidRDefault="00A6556F" w:rsidP="00A6556F">
            <w:pPr>
              <w:spacing w:after="0" w:line="240" w:lineRule="auto"/>
              <w:rPr>
                <w:rFonts w:ascii="Arial" w:eastAsia="Times New Roman" w:hAnsi="Arial" w:cs="Arial"/>
                <w:smallCaps/>
                <w:sz w:val="24"/>
                <w:szCs w:val="24"/>
                <w:lang w:eastAsia="ja-JP"/>
              </w:rPr>
            </w:pPr>
          </w:p>
        </w:tc>
        <w:tc>
          <w:tcPr>
            <w:tcW w:w="2018" w:type="dxa"/>
            <w:vAlign w:val="center"/>
          </w:tcPr>
          <w:p w14:paraId="089A534B" w14:textId="77777777" w:rsidR="00A6556F" w:rsidRPr="00950139" w:rsidRDefault="00A6556F" w:rsidP="00A6556F">
            <w:pPr>
              <w:spacing w:after="0" w:line="240" w:lineRule="auto"/>
              <w:rPr>
                <w:rFonts w:ascii="Arial" w:eastAsia="Times New Roman" w:hAnsi="Arial" w:cs="Arial"/>
                <w:sz w:val="24"/>
                <w:szCs w:val="24"/>
                <w:lang w:eastAsia="ja-JP"/>
              </w:rPr>
            </w:pPr>
          </w:p>
        </w:tc>
      </w:tr>
      <w:tr w:rsidR="00A6556F" w:rsidRPr="00950139" w14:paraId="089A5350" w14:textId="77777777" w:rsidTr="00D2330E">
        <w:trPr>
          <w:cantSplit/>
        </w:trPr>
        <w:tc>
          <w:tcPr>
            <w:tcW w:w="9781" w:type="dxa"/>
            <w:gridSpan w:val="4"/>
          </w:tcPr>
          <w:p w14:paraId="089A534D" w14:textId="77777777" w:rsidR="00A6556F" w:rsidRPr="00950139" w:rsidRDefault="00A6556F" w:rsidP="00A6556F">
            <w:pPr>
              <w:spacing w:after="0" w:line="240" w:lineRule="auto"/>
              <w:rPr>
                <w:rFonts w:ascii="Arial" w:eastAsia="Times New Roman" w:hAnsi="Arial" w:cs="Arial"/>
                <w:sz w:val="24"/>
                <w:szCs w:val="24"/>
                <w:lang w:eastAsia="ja-JP"/>
              </w:rPr>
            </w:pPr>
          </w:p>
          <w:p w14:paraId="089A534E"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 and -</w:t>
            </w:r>
          </w:p>
          <w:p w14:paraId="089A534F"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r>
      <w:tr w:rsidR="00A6556F" w:rsidRPr="00950139" w14:paraId="089A5354" w14:textId="77777777" w:rsidTr="00D2330E">
        <w:trPr>
          <w:cantSplit/>
        </w:trPr>
        <w:tc>
          <w:tcPr>
            <w:tcW w:w="1526" w:type="dxa"/>
            <w:vAlign w:val="center"/>
          </w:tcPr>
          <w:p w14:paraId="089A5351"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089A5352"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SECRETARY OF STATE FOR WORK AND PENSIONS</w:t>
            </w:r>
          </w:p>
        </w:tc>
        <w:tc>
          <w:tcPr>
            <w:tcW w:w="2018" w:type="dxa"/>
            <w:vAlign w:val="center"/>
          </w:tcPr>
          <w:p w14:paraId="089A5353"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Respondent</w:t>
            </w:r>
          </w:p>
        </w:tc>
      </w:tr>
      <w:tr w:rsidR="00A6556F" w:rsidRPr="00950139" w14:paraId="089A5358" w14:textId="77777777" w:rsidTr="00D2330E">
        <w:trPr>
          <w:cantSplit/>
        </w:trPr>
        <w:tc>
          <w:tcPr>
            <w:tcW w:w="1526" w:type="dxa"/>
          </w:tcPr>
          <w:p w14:paraId="089A5355"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6237" w:type="dxa"/>
            <w:gridSpan w:val="2"/>
          </w:tcPr>
          <w:p w14:paraId="089A5356"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c>
          <w:tcPr>
            <w:tcW w:w="2018" w:type="dxa"/>
            <w:vAlign w:val="center"/>
          </w:tcPr>
          <w:p w14:paraId="089A5357"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r>
      <w:tr w:rsidR="00A6556F" w:rsidRPr="00950139" w14:paraId="089A535A" w14:textId="77777777" w:rsidTr="00D2330E">
        <w:trPr>
          <w:cantSplit/>
        </w:trPr>
        <w:tc>
          <w:tcPr>
            <w:tcW w:w="9781" w:type="dxa"/>
            <w:gridSpan w:val="4"/>
          </w:tcPr>
          <w:p w14:paraId="089A5359"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r>
      <w:tr w:rsidR="00A6556F" w:rsidRPr="00950139" w14:paraId="089A5360" w14:textId="77777777" w:rsidTr="00D2330E">
        <w:trPr>
          <w:cantSplit/>
        </w:trPr>
        <w:tc>
          <w:tcPr>
            <w:tcW w:w="1526" w:type="dxa"/>
          </w:tcPr>
          <w:p w14:paraId="089A535B"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Borders>
              <w:top w:val="single" w:sz="4" w:space="0" w:color="auto"/>
              <w:bottom w:val="single" w:sz="4" w:space="0" w:color="auto"/>
            </w:tcBorders>
          </w:tcPr>
          <w:p w14:paraId="089A535C" w14:textId="77777777" w:rsidR="00A6556F" w:rsidRPr="00950139" w:rsidRDefault="00A6556F" w:rsidP="00A6556F">
            <w:pPr>
              <w:spacing w:after="0" w:line="240" w:lineRule="auto"/>
              <w:jc w:val="center"/>
              <w:rPr>
                <w:rFonts w:ascii="Arial" w:eastAsia="Times New Roman" w:hAnsi="Arial" w:cs="Arial"/>
                <w:sz w:val="24"/>
                <w:szCs w:val="24"/>
                <w:lang w:eastAsia="ja-JP"/>
              </w:rPr>
            </w:pPr>
          </w:p>
          <w:p w14:paraId="089A535D" w14:textId="77777777" w:rsidR="00A6556F" w:rsidRPr="00950139" w:rsidRDefault="00A6556F" w:rsidP="00A6556F">
            <w:pPr>
              <w:spacing w:after="0" w:line="240" w:lineRule="auto"/>
              <w:jc w:val="center"/>
              <w:rPr>
                <w:rFonts w:ascii="Arial" w:eastAsia="Times New Roman" w:hAnsi="Arial" w:cs="Arial"/>
                <w:sz w:val="24"/>
                <w:szCs w:val="24"/>
              </w:rPr>
            </w:pPr>
            <w:r w:rsidRPr="00950139">
              <w:rPr>
                <w:rFonts w:ascii="Arial" w:eastAsia="Times New Roman" w:hAnsi="Arial" w:cs="Arial"/>
                <w:sz w:val="24"/>
                <w:szCs w:val="24"/>
              </w:rPr>
              <w:t xml:space="preserve">APPELLANT’S SUBMISSIONS FOR THE HEARING </w:t>
            </w:r>
          </w:p>
          <w:p w14:paraId="089A535E"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2018" w:type="dxa"/>
          </w:tcPr>
          <w:p w14:paraId="089A535F" w14:textId="77777777" w:rsidR="00A6556F" w:rsidRPr="00950139" w:rsidRDefault="00A6556F" w:rsidP="00A6556F">
            <w:pPr>
              <w:spacing w:after="0" w:line="240" w:lineRule="auto"/>
              <w:rPr>
                <w:rFonts w:ascii="Arial" w:eastAsia="Times New Roman" w:hAnsi="Arial" w:cs="Arial"/>
                <w:sz w:val="24"/>
                <w:szCs w:val="24"/>
                <w:lang w:eastAsia="ja-JP"/>
              </w:rPr>
            </w:pPr>
          </w:p>
        </w:tc>
      </w:tr>
    </w:tbl>
    <w:p w14:paraId="089A5361" w14:textId="77777777" w:rsidR="00A6556F" w:rsidRPr="00950139" w:rsidRDefault="00A6556F" w:rsidP="00A6556F">
      <w:pPr>
        <w:spacing w:after="0" w:line="240" w:lineRule="auto"/>
        <w:rPr>
          <w:rFonts w:ascii="Arial" w:eastAsia="Times New Roman" w:hAnsi="Arial" w:cs="Arial"/>
          <w:sz w:val="20"/>
          <w:szCs w:val="20"/>
        </w:rPr>
      </w:pPr>
    </w:p>
    <w:p w14:paraId="089A5362"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089A5363"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089A5364" w14:textId="77777777" w:rsidR="00004949" w:rsidRPr="00004949" w:rsidRDefault="00004949" w:rsidP="00004949">
      <w:pPr>
        <w:spacing w:after="0" w:line="240" w:lineRule="auto"/>
        <w:ind w:left="720" w:right="555"/>
        <w:rPr>
          <w:rFonts w:ascii="Arial" w:eastAsia="Times New Roman" w:hAnsi="Arial" w:cs="Arial"/>
          <w:sz w:val="24"/>
          <w:szCs w:val="24"/>
        </w:rPr>
      </w:pPr>
    </w:p>
    <w:p w14:paraId="089A5365" w14:textId="55AE2627" w:rsidR="00004949" w:rsidRDefault="008047C6" w:rsidP="00950139">
      <w:pPr>
        <w:numPr>
          <w:ilvl w:val="0"/>
          <w:numId w:val="1"/>
        </w:numPr>
        <w:spacing w:after="0" w:line="240" w:lineRule="auto"/>
        <w:ind w:right="555"/>
        <w:rPr>
          <w:rFonts w:ascii="Arial" w:eastAsia="Times New Roman" w:hAnsi="Arial" w:cs="Arial"/>
          <w:sz w:val="24"/>
          <w:szCs w:val="24"/>
        </w:rPr>
      </w:pPr>
      <w:r>
        <w:rPr>
          <w:rFonts w:ascii="Arial" w:eastAsia="Times New Roman" w:hAnsi="Arial" w:cs="Arial"/>
          <w:sz w:val="24"/>
          <w:szCs w:val="24"/>
        </w:rPr>
        <w:t>The PIP</w:t>
      </w:r>
      <w:r w:rsidR="009247DA">
        <w:rPr>
          <w:rFonts w:ascii="Arial" w:eastAsia="Times New Roman" w:hAnsi="Arial" w:cs="Arial"/>
          <w:sz w:val="24"/>
          <w:szCs w:val="24"/>
        </w:rPr>
        <w:t xml:space="preserve"> descriptors are not in dispute.  The only issue in this appeal is the Respondent’s decision to replace an indefinite award with a finite one</w:t>
      </w:r>
      <w:r w:rsidR="0022566B">
        <w:rPr>
          <w:rFonts w:ascii="Arial" w:eastAsia="Times New Roman" w:hAnsi="Arial" w:cs="Arial"/>
          <w:sz w:val="24"/>
          <w:szCs w:val="24"/>
        </w:rPr>
        <w:t>.</w:t>
      </w:r>
    </w:p>
    <w:p w14:paraId="089A5366" w14:textId="77777777" w:rsidR="0022566B" w:rsidRDefault="0022566B" w:rsidP="0022566B">
      <w:pPr>
        <w:spacing w:after="0" w:line="240" w:lineRule="auto"/>
        <w:ind w:left="720" w:right="555"/>
        <w:rPr>
          <w:rFonts w:ascii="Arial" w:eastAsia="Times New Roman" w:hAnsi="Arial" w:cs="Arial"/>
          <w:sz w:val="24"/>
          <w:szCs w:val="24"/>
        </w:rPr>
      </w:pPr>
    </w:p>
    <w:p w14:paraId="089A5367" w14:textId="7C107CAB" w:rsidR="004F27B8" w:rsidRPr="004F27B8" w:rsidRDefault="009247DA" w:rsidP="00E537B4">
      <w:pPr>
        <w:pStyle w:val="ListParagraph"/>
        <w:numPr>
          <w:ilvl w:val="0"/>
          <w:numId w:val="3"/>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The Respondent’s decision dated 26/10/2018 determined that Mr </w:t>
      </w:r>
      <w:r w:rsidR="00E3398E">
        <w:rPr>
          <w:rFonts w:ascii="Arial" w:eastAsia="Times New Roman" w:hAnsi="Arial" w:cs="Arial"/>
          <w:sz w:val="24"/>
          <w:szCs w:val="24"/>
        </w:rPr>
        <w:t>X</w:t>
      </w:r>
      <w:r>
        <w:rPr>
          <w:rFonts w:ascii="Arial" w:eastAsia="Times New Roman" w:hAnsi="Arial" w:cs="Arial"/>
          <w:sz w:val="24"/>
          <w:szCs w:val="24"/>
        </w:rPr>
        <w:t xml:space="preserve"> was entitled to the standard rate of the daily living component indefinitely.  </w:t>
      </w:r>
      <w:r>
        <w:rPr>
          <w:rFonts w:ascii="Arial" w:eastAsia="Times New Roman" w:hAnsi="Arial" w:cs="Arial"/>
          <w:b/>
          <w:bCs/>
          <w:sz w:val="24"/>
          <w:szCs w:val="24"/>
        </w:rPr>
        <w:t xml:space="preserve">It can therefore be inferred that the Respondent considered that Mr </w:t>
      </w:r>
      <w:r w:rsidR="00E3398E">
        <w:rPr>
          <w:rFonts w:ascii="Arial" w:eastAsia="Times New Roman" w:hAnsi="Arial" w:cs="Arial"/>
          <w:b/>
          <w:bCs/>
          <w:sz w:val="24"/>
          <w:szCs w:val="24"/>
        </w:rPr>
        <w:t>X</w:t>
      </w:r>
      <w:r>
        <w:rPr>
          <w:rFonts w:ascii="Arial" w:eastAsia="Times New Roman" w:hAnsi="Arial" w:cs="Arial"/>
          <w:b/>
          <w:bCs/>
          <w:sz w:val="24"/>
          <w:szCs w:val="24"/>
        </w:rPr>
        <w:t xml:space="preserve">’s condition would not </w:t>
      </w:r>
      <w:r w:rsidR="00A65ED6">
        <w:rPr>
          <w:rFonts w:ascii="Arial" w:eastAsia="Times New Roman" w:hAnsi="Arial" w:cs="Arial"/>
          <w:b/>
          <w:bCs/>
          <w:sz w:val="24"/>
          <w:szCs w:val="24"/>
        </w:rPr>
        <w:t>improve.</w:t>
      </w:r>
    </w:p>
    <w:p w14:paraId="089A5368" w14:textId="77777777" w:rsidR="004F27B8" w:rsidRPr="004F27B8" w:rsidRDefault="004F27B8" w:rsidP="004F27B8">
      <w:pPr>
        <w:pStyle w:val="ListParagraph"/>
        <w:rPr>
          <w:rFonts w:ascii="Arial" w:eastAsia="Times New Roman" w:hAnsi="Arial" w:cs="Arial"/>
          <w:sz w:val="24"/>
          <w:szCs w:val="24"/>
        </w:rPr>
      </w:pPr>
    </w:p>
    <w:p w14:paraId="089A5376" w14:textId="51E1BD97" w:rsidR="009B3205" w:rsidRPr="009B3205" w:rsidRDefault="009B3205" w:rsidP="00E537B4">
      <w:pPr>
        <w:numPr>
          <w:ilvl w:val="0"/>
          <w:numId w:val="7"/>
        </w:numPr>
        <w:spacing w:after="0" w:line="240" w:lineRule="auto"/>
        <w:ind w:right="413"/>
        <w:rPr>
          <w:rFonts w:ascii="Arial" w:eastAsia="Times New Roman" w:hAnsi="Arial" w:cs="Arial"/>
          <w:sz w:val="24"/>
          <w:szCs w:val="24"/>
        </w:rPr>
      </w:pPr>
      <w:r w:rsidRPr="009B3205">
        <w:rPr>
          <w:rFonts w:ascii="Arial" w:eastAsia="Times New Roman" w:hAnsi="Arial" w:cs="Arial"/>
          <w:sz w:val="24"/>
          <w:szCs w:val="24"/>
        </w:rPr>
        <w:t xml:space="preserve">The Respondent </w:t>
      </w:r>
      <w:r w:rsidR="00A65ED6">
        <w:rPr>
          <w:rFonts w:ascii="Arial" w:eastAsia="Times New Roman" w:hAnsi="Arial" w:cs="Arial"/>
          <w:sz w:val="24"/>
          <w:szCs w:val="24"/>
        </w:rPr>
        <w:t xml:space="preserve">has not departed from his position on that </w:t>
      </w:r>
      <w:proofErr w:type="gramStart"/>
      <w:r w:rsidR="00A65ED6">
        <w:rPr>
          <w:rFonts w:ascii="Arial" w:eastAsia="Times New Roman" w:hAnsi="Arial" w:cs="Arial"/>
          <w:sz w:val="24"/>
          <w:szCs w:val="24"/>
        </w:rPr>
        <w:t>point</w:t>
      </w:r>
      <w:proofErr w:type="gramEnd"/>
      <w:r w:rsidR="00A65ED6">
        <w:rPr>
          <w:rFonts w:ascii="Arial" w:eastAsia="Times New Roman" w:hAnsi="Arial" w:cs="Arial"/>
          <w:sz w:val="24"/>
          <w:szCs w:val="24"/>
        </w:rPr>
        <w:t xml:space="preserve"> but he has nevertheless included several stock phrases that he uses in cases where the Descriptors are in dispute and the Response appears to have been written on a pre-populated template.  The Respondent’s submission writer appears to have forgotten to remove the irrelevant phrases.</w:t>
      </w:r>
    </w:p>
    <w:p w14:paraId="089A5379" w14:textId="77777777" w:rsidR="009B3205" w:rsidRPr="009B3205" w:rsidRDefault="009B3205" w:rsidP="00A65ED6">
      <w:pPr>
        <w:spacing w:after="0" w:line="240" w:lineRule="auto"/>
        <w:ind w:right="1264"/>
        <w:rPr>
          <w:rFonts w:ascii="Arial" w:eastAsia="Times New Roman" w:hAnsi="Arial" w:cs="Arial"/>
          <w:sz w:val="24"/>
          <w:szCs w:val="24"/>
        </w:rPr>
      </w:pPr>
    </w:p>
    <w:p w14:paraId="089A537A" w14:textId="46E05326" w:rsidR="00B32CD0" w:rsidRPr="00B32CD0" w:rsidRDefault="009A4839" w:rsidP="00E537B4">
      <w:pPr>
        <w:numPr>
          <w:ilvl w:val="0"/>
          <w:numId w:val="7"/>
        </w:numPr>
        <w:spacing w:after="0" w:line="240" w:lineRule="auto"/>
        <w:ind w:right="413"/>
        <w:rPr>
          <w:rFonts w:ascii="Arial" w:eastAsia="Times New Roman" w:hAnsi="Arial" w:cs="Arial"/>
          <w:sz w:val="24"/>
          <w:szCs w:val="24"/>
        </w:rPr>
      </w:pPr>
      <w:r>
        <w:rPr>
          <w:rFonts w:ascii="Arial" w:eastAsia="Times New Roman" w:hAnsi="Arial" w:cs="Arial"/>
          <w:sz w:val="24"/>
          <w:szCs w:val="20"/>
        </w:rPr>
        <w:t xml:space="preserve">The Respondent </w:t>
      </w:r>
      <w:r w:rsidRPr="009A4839">
        <w:rPr>
          <w:rFonts w:ascii="Arial" w:eastAsia="Times New Roman" w:hAnsi="Arial" w:cs="Arial"/>
          <w:b/>
          <w:bCs/>
          <w:sz w:val="24"/>
          <w:szCs w:val="20"/>
        </w:rPr>
        <w:t>(S</w:t>
      </w:r>
      <w:r w:rsidR="001F7BF6">
        <w:rPr>
          <w:rFonts w:ascii="Arial" w:eastAsia="Times New Roman" w:hAnsi="Arial" w:cs="Arial"/>
          <w:b/>
          <w:bCs/>
          <w:sz w:val="24"/>
          <w:szCs w:val="20"/>
        </w:rPr>
        <w:t>4(</w:t>
      </w:r>
      <w:r w:rsidRPr="009A4839">
        <w:rPr>
          <w:rFonts w:ascii="Arial" w:eastAsia="Times New Roman" w:hAnsi="Arial" w:cs="Arial"/>
          <w:b/>
          <w:bCs/>
          <w:sz w:val="24"/>
          <w:szCs w:val="20"/>
        </w:rPr>
        <w:t>2</w:t>
      </w:r>
      <w:r w:rsidR="001F7BF6">
        <w:rPr>
          <w:rFonts w:ascii="Arial" w:eastAsia="Times New Roman" w:hAnsi="Arial" w:cs="Arial"/>
          <w:b/>
          <w:bCs/>
          <w:sz w:val="24"/>
          <w:szCs w:val="20"/>
        </w:rPr>
        <w:t>)</w:t>
      </w:r>
      <w:r w:rsidRPr="009A4839">
        <w:rPr>
          <w:rFonts w:ascii="Arial" w:eastAsia="Times New Roman" w:hAnsi="Arial" w:cs="Arial"/>
          <w:b/>
          <w:bCs/>
          <w:sz w:val="24"/>
          <w:szCs w:val="20"/>
        </w:rPr>
        <w:t xml:space="preserve"> of the Response page D</w:t>
      </w:r>
      <w:r>
        <w:rPr>
          <w:rFonts w:ascii="Arial" w:eastAsia="Times New Roman" w:hAnsi="Arial" w:cs="Arial"/>
          <w:sz w:val="24"/>
          <w:szCs w:val="20"/>
        </w:rPr>
        <w:t xml:space="preserve">) </w:t>
      </w:r>
      <w:proofErr w:type="gramStart"/>
      <w:r>
        <w:rPr>
          <w:rFonts w:ascii="Arial" w:eastAsia="Times New Roman" w:hAnsi="Arial" w:cs="Arial"/>
          <w:sz w:val="24"/>
          <w:szCs w:val="20"/>
        </w:rPr>
        <w:t>avers</w:t>
      </w:r>
      <w:proofErr w:type="gramEnd"/>
    </w:p>
    <w:p w14:paraId="089A537B" w14:textId="77777777" w:rsidR="00B32CD0" w:rsidRPr="00B32CD0" w:rsidRDefault="00B32CD0" w:rsidP="00B32CD0">
      <w:pPr>
        <w:spacing w:after="0" w:line="240" w:lineRule="auto"/>
        <w:ind w:left="720" w:right="413"/>
        <w:rPr>
          <w:rFonts w:ascii="Arial" w:eastAsia="Times New Roman" w:hAnsi="Arial" w:cs="Arial"/>
          <w:sz w:val="24"/>
          <w:szCs w:val="24"/>
        </w:rPr>
      </w:pPr>
    </w:p>
    <w:p w14:paraId="089A537C" w14:textId="2D12F8B9" w:rsidR="00B32CD0" w:rsidRPr="00B32CD0" w:rsidRDefault="009A4839" w:rsidP="009A4839">
      <w:pPr>
        <w:spacing w:after="0" w:line="240" w:lineRule="auto"/>
        <w:ind w:left="1560" w:right="555"/>
        <w:jc w:val="center"/>
        <w:rPr>
          <w:rFonts w:ascii="Arial" w:eastAsia="Times New Roman" w:hAnsi="Arial" w:cs="Arial"/>
          <w:b/>
          <w:sz w:val="24"/>
          <w:szCs w:val="24"/>
        </w:rPr>
      </w:pPr>
      <w:r>
        <w:rPr>
          <w:rFonts w:ascii="Arial" w:eastAsia="Times New Roman" w:hAnsi="Arial" w:cs="Arial"/>
          <w:sz w:val="24"/>
          <w:szCs w:val="24"/>
        </w:rPr>
        <w:t xml:space="preserve">The decision notification issued 31/07/2019 was issued due to a change in the law relating to the descriptors not length </w:t>
      </w:r>
      <w:proofErr w:type="gramStart"/>
      <w:r>
        <w:rPr>
          <w:rFonts w:ascii="Arial" w:eastAsia="Times New Roman" w:hAnsi="Arial" w:cs="Arial"/>
          <w:sz w:val="24"/>
          <w:szCs w:val="24"/>
        </w:rPr>
        <w:t>of  award</w:t>
      </w:r>
      <w:proofErr w:type="gramEnd"/>
      <w:r>
        <w:rPr>
          <w:rFonts w:ascii="Arial" w:eastAsia="Times New Roman" w:hAnsi="Arial" w:cs="Arial"/>
          <w:sz w:val="24"/>
          <w:szCs w:val="24"/>
        </w:rPr>
        <w:t xml:space="preserve"> ( docs 86-91)</w:t>
      </w:r>
      <w:r w:rsidR="00B32CD0" w:rsidRPr="00B32CD0">
        <w:rPr>
          <w:rFonts w:ascii="Arial" w:eastAsia="Times New Roman" w:hAnsi="Arial" w:cs="Arial"/>
          <w:b/>
          <w:sz w:val="24"/>
          <w:szCs w:val="24"/>
        </w:rPr>
        <w:t>.</w:t>
      </w:r>
    </w:p>
    <w:p w14:paraId="089A5385" w14:textId="744D7059" w:rsidR="00B32CD0" w:rsidRPr="00B32CD0" w:rsidRDefault="00B32CD0" w:rsidP="009A4839">
      <w:pPr>
        <w:spacing w:after="0" w:line="240" w:lineRule="auto"/>
        <w:ind w:left="720"/>
        <w:rPr>
          <w:rFonts w:ascii="Arial" w:eastAsia="Times New Roman" w:hAnsi="Arial" w:cs="Arial"/>
          <w:sz w:val="24"/>
          <w:szCs w:val="24"/>
        </w:rPr>
      </w:pPr>
    </w:p>
    <w:p w14:paraId="089A5386" w14:textId="05C6061A" w:rsidR="00B32CD0" w:rsidRDefault="00B32CD0" w:rsidP="00E537B4">
      <w:pPr>
        <w:numPr>
          <w:ilvl w:val="1"/>
          <w:numId w:val="7"/>
        </w:numPr>
        <w:spacing w:after="0" w:line="240" w:lineRule="auto"/>
        <w:ind w:right="555"/>
        <w:rPr>
          <w:rFonts w:ascii="Arial" w:eastAsia="Times New Roman" w:hAnsi="Arial" w:cs="Arial"/>
          <w:sz w:val="24"/>
          <w:szCs w:val="24"/>
        </w:rPr>
      </w:pPr>
      <w:r w:rsidRPr="00B32CD0">
        <w:rPr>
          <w:rFonts w:ascii="Arial" w:eastAsia="Times New Roman" w:hAnsi="Arial" w:cs="Arial"/>
          <w:sz w:val="24"/>
          <w:szCs w:val="24"/>
        </w:rPr>
        <w:t xml:space="preserve">The </w:t>
      </w:r>
      <w:r w:rsidR="009A4839">
        <w:rPr>
          <w:rFonts w:ascii="Arial" w:eastAsia="Times New Roman" w:hAnsi="Arial" w:cs="Arial"/>
          <w:sz w:val="24"/>
          <w:szCs w:val="24"/>
        </w:rPr>
        <w:t xml:space="preserve">document at p86 is dated </w:t>
      </w:r>
      <w:r w:rsidR="009A4839" w:rsidRPr="00F96144">
        <w:rPr>
          <w:rFonts w:ascii="Arial" w:eastAsia="Times New Roman" w:hAnsi="Arial" w:cs="Arial"/>
          <w:sz w:val="24"/>
          <w:szCs w:val="24"/>
          <w:u w:val="single"/>
        </w:rPr>
        <w:t>31Jan</w:t>
      </w:r>
      <w:r w:rsidR="00F96144">
        <w:rPr>
          <w:rFonts w:ascii="Arial" w:eastAsia="Times New Roman" w:hAnsi="Arial" w:cs="Arial"/>
          <w:sz w:val="24"/>
          <w:szCs w:val="24"/>
          <w:u w:val="single"/>
        </w:rPr>
        <w:t>ua</w:t>
      </w:r>
      <w:r w:rsidR="009A4839" w:rsidRPr="00F96144">
        <w:rPr>
          <w:rFonts w:ascii="Arial" w:eastAsia="Times New Roman" w:hAnsi="Arial" w:cs="Arial"/>
          <w:sz w:val="24"/>
          <w:szCs w:val="24"/>
          <w:u w:val="single"/>
        </w:rPr>
        <w:t>ry 2019</w:t>
      </w:r>
      <w:r w:rsidR="009A4839">
        <w:rPr>
          <w:rFonts w:ascii="Arial" w:eastAsia="Times New Roman" w:hAnsi="Arial" w:cs="Arial"/>
          <w:sz w:val="24"/>
          <w:szCs w:val="24"/>
        </w:rPr>
        <w:t xml:space="preserve">.  It does refer to changes in law and explains that the changes relate to </w:t>
      </w:r>
    </w:p>
    <w:p w14:paraId="41E6C537" w14:textId="77777777" w:rsidR="009A4839" w:rsidRDefault="009A4839" w:rsidP="009A4839">
      <w:pPr>
        <w:spacing w:after="0" w:line="240" w:lineRule="auto"/>
        <w:ind w:left="1069" w:right="555"/>
        <w:rPr>
          <w:rFonts w:ascii="Arial" w:eastAsia="Times New Roman" w:hAnsi="Arial" w:cs="Arial"/>
          <w:sz w:val="24"/>
          <w:szCs w:val="24"/>
        </w:rPr>
      </w:pPr>
    </w:p>
    <w:p w14:paraId="2C73EB5E" w14:textId="185D3E72" w:rsidR="009A4839" w:rsidRDefault="009A4839" w:rsidP="009A4839">
      <w:pPr>
        <w:pStyle w:val="ListParagraph"/>
        <w:numPr>
          <w:ilvl w:val="0"/>
          <w:numId w:val="18"/>
        </w:numPr>
        <w:spacing w:after="0" w:line="240" w:lineRule="auto"/>
        <w:ind w:right="555"/>
        <w:rPr>
          <w:rFonts w:ascii="Arial" w:eastAsia="Times New Roman" w:hAnsi="Arial" w:cs="Arial"/>
          <w:sz w:val="24"/>
          <w:szCs w:val="24"/>
        </w:rPr>
      </w:pPr>
      <w:r>
        <w:rPr>
          <w:rFonts w:ascii="Arial" w:eastAsia="Times New Roman" w:hAnsi="Arial" w:cs="Arial"/>
          <w:sz w:val="24"/>
          <w:szCs w:val="24"/>
        </w:rPr>
        <w:t>how we assess someone’s ability to plan and follow a journey</w:t>
      </w:r>
    </w:p>
    <w:p w14:paraId="19CEFC76" w14:textId="128838E2" w:rsidR="009A4839" w:rsidRDefault="009A4839" w:rsidP="009A4839">
      <w:pPr>
        <w:pStyle w:val="ListParagraph"/>
        <w:numPr>
          <w:ilvl w:val="0"/>
          <w:numId w:val="18"/>
        </w:numPr>
        <w:spacing w:after="0" w:line="240" w:lineRule="auto"/>
        <w:ind w:right="555"/>
        <w:rPr>
          <w:rFonts w:ascii="Arial" w:eastAsia="Times New Roman" w:hAnsi="Arial" w:cs="Arial"/>
          <w:sz w:val="24"/>
          <w:szCs w:val="24"/>
        </w:rPr>
      </w:pPr>
      <w:r>
        <w:rPr>
          <w:rFonts w:ascii="Arial" w:eastAsia="Times New Roman" w:hAnsi="Arial" w:cs="Arial"/>
          <w:sz w:val="24"/>
          <w:szCs w:val="24"/>
        </w:rPr>
        <w:t>how we decide whether someone can carry out an activity safely or not.</w:t>
      </w:r>
    </w:p>
    <w:p w14:paraId="4E663BD4" w14:textId="77777777" w:rsidR="009A4839" w:rsidRPr="009A4839" w:rsidRDefault="009A4839" w:rsidP="009A4839">
      <w:pPr>
        <w:pStyle w:val="ListParagraph"/>
        <w:spacing w:after="0" w:line="240" w:lineRule="auto"/>
        <w:ind w:left="1789" w:right="555"/>
        <w:rPr>
          <w:rFonts w:ascii="Arial" w:eastAsia="Times New Roman" w:hAnsi="Arial" w:cs="Arial"/>
          <w:sz w:val="24"/>
          <w:szCs w:val="24"/>
        </w:rPr>
      </w:pPr>
    </w:p>
    <w:p w14:paraId="089A5388" w14:textId="032A5991" w:rsidR="00690ECB" w:rsidRPr="00F96144" w:rsidRDefault="009A4839" w:rsidP="00F96144">
      <w:pPr>
        <w:numPr>
          <w:ilvl w:val="1"/>
          <w:numId w:val="7"/>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 I presume that the Respondent’s reference to “31/07/2019”</w:t>
      </w:r>
      <w:r w:rsidR="00F96144">
        <w:rPr>
          <w:rFonts w:ascii="Arial" w:eastAsia="Times New Roman" w:hAnsi="Arial" w:cs="Arial"/>
          <w:sz w:val="24"/>
          <w:szCs w:val="24"/>
        </w:rPr>
        <w:t xml:space="preserve"> in S2</w:t>
      </w:r>
      <w:r>
        <w:rPr>
          <w:rFonts w:ascii="Arial" w:eastAsia="Times New Roman" w:hAnsi="Arial" w:cs="Arial"/>
          <w:sz w:val="24"/>
          <w:szCs w:val="24"/>
        </w:rPr>
        <w:t xml:space="preserve"> was a typing </w:t>
      </w:r>
      <w:r w:rsidR="00F96144">
        <w:rPr>
          <w:rFonts w:ascii="Arial" w:eastAsia="Times New Roman" w:hAnsi="Arial" w:cs="Arial"/>
          <w:sz w:val="24"/>
          <w:szCs w:val="24"/>
        </w:rPr>
        <w:t>error,</w:t>
      </w:r>
      <w:r>
        <w:rPr>
          <w:rFonts w:ascii="Arial" w:eastAsia="Times New Roman" w:hAnsi="Arial" w:cs="Arial"/>
          <w:sz w:val="24"/>
          <w:szCs w:val="24"/>
        </w:rPr>
        <w:t xml:space="preserve"> but I note that the decision issued maintained the indefinite </w:t>
      </w:r>
      <w:proofErr w:type="gramStart"/>
      <w:r>
        <w:rPr>
          <w:rFonts w:ascii="Arial" w:eastAsia="Times New Roman" w:hAnsi="Arial" w:cs="Arial"/>
          <w:sz w:val="24"/>
          <w:szCs w:val="24"/>
        </w:rPr>
        <w:t>award</w:t>
      </w:r>
      <w:r w:rsidR="00980811">
        <w:rPr>
          <w:rFonts w:ascii="Arial" w:eastAsia="Times New Roman" w:hAnsi="Arial" w:cs="Arial"/>
          <w:sz w:val="24"/>
          <w:szCs w:val="24"/>
        </w:rPr>
        <w:t>.</w:t>
      </w:r>
      <w:r w:rsidR="00DF286D" w:rsidRPr="00F96144">
        <w:rPr>
          <w:rFonts w:ascii="Arial" w:eastAsia="Times New Roman" w:hAnsi="Arial" w:cs="Arial"/>
          <w:sz w:val="24"/>
          <w:szCs w:val="24"/>
        </w:rPr>
        <w:t>.</w:t>
      </w:r>
      <w:proofErr w:type="gramEnd"/>
      <w:r w:rsidR="009B3205" w:rsidRPr="00F96144">
        <w:rPr>
          <w:rFonts w:ascii="Arial" w:eastAsia="Times New Roman" w:hAnsi="Arial" w:cs="Arial"/>
          <w:sz w:val="24"/>
          <w:szCs w:val="24"/>
        </w:rPr>
        <w:t xml:space="preserve"> </w:t>
      </w:r>
    </w:p>
    <w:p w14:paraId="3890A2F4" w14:textId="3775E677" w:rsidR="00F96144" w:rsidRDefault="00F96144" w:rsidP="004E42F0">
      <w:pPr>
        <w:pStyle w:val="NormalWeb"/>
        <w:numPr>
          <w:ilvl w:val="0"/>
          <w:numId w:val="2"/>
        </w:numPr>
        <w:tabs>
          <w:tab w:val="left" w:pos="851"/>
          <w:tab w:val="left" w:pos="9923"/>
        </w:tabs>
        <w:ind w:right="271"/>
        <w:rPr>
          <w:rFonts w:ascii="Arial" w:hAnsi="Arial" w:cs="Arial"/>
        </w:rPr>
      </w:pPr>
      <w:r>
        <w:rPr>
          <w:rFonts w:ascii="Arial" w:hAnsi="Arial" w:cs="Arial"/>
        </w:rPr>
        <w:t xml:space="preserve">The Respondent is </w:t>
      </w:r>
      <w:r w:rsidR="00F71948">
        <w:rPr>
          <w:rFonts w:ascii="Arial" w:hAnsi="Arial" w:cs="Arial"/>
        </w:rPr>
        <w:t xml:space="preserve">arguably being somewhat disingenuous when he refers to supposed changes in the law, as I can show with the history behind the decision as issued on </w:t>
      </w:r>
      <w:proofErr w:type="gramStart"/>
      <w:r w:rsidR="00F71948">
        <w:rPr>
          <w:rFonts w:ascii="Arial" w:hAnsi="Arial" w:cs="Arial"/>
        </w:rPr>
        <w:t>31/01/2019</w:t>
      </w:r>
      <w:proofErr w:type="gramEnd"/>
    </w:p>
    <w:p w14:paraId="351B5B5D" w14:textId="77777777" w:rsidR="00F71948" w:rsidRDefault="00F71948" w:rsidP="00F71948">
      <w:pPr>
        <w:pStyle w:val="NormalWeb"/>
        <w:tabs>
          <w:tab w:val="left" w:pos="851"/>
          <w:tab w:val="left" w:pos="9923"/>
        </w:tabs>
        <w:ind w:left="720" w:right="271"/>
        <w:rPr>
          <w:rFonts w:ascii="Arial" w:hAnsi="Arial" w:cs="Arial"/>
        </w:rPr>
      </w:pPr>
    </w:p>
    <w:p w14:paraId="3850B8EF" w14:textId="10405649" w:rsidR="00F71948" w:rsidRPr="00C90E71" w:rsidRDefault="00F71948" w:rsidP="00F71948">
      <w:pPr>
        <w:pStyle w:val="NormalWeb"/>
        <w:tabs>
          <w:tab w:val="left" w:pos="851"/>
          <w:tab w:val="left" w:pos="9923"/>
        </w:tabs>
        <w:ind w:left="720" w:right="271"/>
        <w:rPr>
          <w:rFonts w:ascii="Arial" w:hAnsi="Arial" w:cs="Arial"/>
          <w:b/>
          <w:bCs/>
          <w:u w:val="single"/>
        </w:rPr>
      </w:pPr>
      <w:r>
        <w:rPr>
          <w:rFonts w:ascii="Arial" w:hAnsi="Arial" w:cs="Arial"/>
        </w:rPr>
        <w:t xml:space="preserve">5.1 A Three Judge Panel issued its decision in </w:t>
      </w:r>
      <w:r w:rsidRPr="00F71948">
        <w:rPr>
          <w:rFonts w:ascii="Arial" w:hAnsi="Arial" w:cs="Arial"/>
        </w:rPr>
        <w:t>MH v Secretary of State for Work and Pensions (PIP) [2016] UKUT 0531 (</w:t>
      </w:r>
      <w:r w:rsidR="00C90E71" w:rsidRPr="00F71948">
        <w:rPr>
          <w:rFonts w:ascii="Arial" w:hAnsi="Arial" w:cs="Arial"/>
        </w:rPr>
        <w:t>AAC)</w:t>
      </w:r>
      <w:r w:rsidR="00C90E71">
        <w:rPr>
          <w:rFonts w:ascii="Arial" w:hAnsi="Arial" w:cs="Arial"/>
        </w:rPr>
        <w:t xml:space="preserve"> on</w:t>
      </w:r>
      <w:r w:rsidR="00F65501">
        <w:rPr>
          <w:rFonts w:ascii="Arial" w:hAnsi="Arial" w:cs="Arial"/>
        </w:rPr>
        <w:t xml:space="preserve"> </w:t>
      </w:r>
      <w:r w:rsidR="00F65501" w:rsidRPr="00C90E71">
        <w:rPr>
          <w:rFonts w:ascii="Arial" w:hAnsi="Arial" w:cs="Arial"/>
          <w:b/>
          <w:bCs/>
          <w:u w:val="single"/>
        </w:rPr>
        <w:t>28 November 2016.</w:t>
      </w:r>
    </w:p>
    <w:p w14:paraId="57D46C4F" w14:textId="32005421" w:rsidR="00F65501" w:rsidRDefault="00F65501" w:rsidP="00F71948">
      <w:pPr>
        <w:pStyle w:val="NormalWeb"/>
        <w:tabs>
          <w:tab w:val="left" w:pos="851"/>
          <w:tab w:val="left" w:pos="9923"/>
        </w:tabs>
        <w:ind w:left="720" w:right="271"/>
        <w:rPr>
          <w:rFonts w:ascii="Arial" w:hAnsi="Arial" w:cs="Arial"/>
        </w:rPr>
      </w:pPr>
      <w:r>
        <w:rPr>
          <w:rFonts w:ascii="Arial" w:hAnsi="Arial" w:cs="Arial"/>
        </w:rPr>
        <w:t>5.2 The 3JP hearing MH set out the law as it always had been as it applied to PIP Mobility Descriptor 1</w:t>
      </w:r>
    </w:p>
    <w:p w14:paraId="35BBE635" w14:textId="432E2972" w:rsidR="00F65501" w:rsidRDefault="00F65501" w:rsidP="00F71948">
      <w:pPr>
        <w:pStyle w:val="NormalWeb"/>
        <w:tabs>
          <w:tab w:val="left" w:pos="851"/>
          <w:tab w:val="left" w:pos="9923"/>
        </w:tabs>
        <w:ind w:left="720" w:right="271"/>
        <w:rPr>
          <w:rFonts w:ascii="Arial" w:hAnsi="Arial" w:cs="Arial"/>
        </w:rPr>
      </w:pPr>
      <w:r>
        <w:rPr>
          <w:rFonts w:ascii="Arial" w:hAnsi="Arial" w:cs="Arial"/>
        </w:rPr>
        <w:t xml:space="preserve">5.3 </w:t>
      </w:r>
      <w:r w:rsidRPr="00F65501">
        <w:rPr>
          <w:rFonts w:ascii="Arial" w:hAnsi="Arial" w:cs="Arial"/>
        </w:rPr>
        <w:t xml:space="preserve">The Respondent did not seek to appeal MH but instead decided to amend the Regulations from 8 March 2017 </w:t>
      </w:r>
      <w:r w:rsidR="00E865A5" w:rsidRPr="00F65501">
        <w:rPr>
          <w:rFonts w:ascii="Arial" w:hAnsi="Arial" w:cs="Arial"/>
        </w:rPr>
        <w:t>to</w:t>
      </w:r>
      <w:r w:rsidRPr="00F65501">
        <w:rPr>
          <w:rFonts w:ascii="Arial" w:hAnsi="Arial" w:cs="Arial"/>
        </w:rPr>
        <w:t xml:space="preserve"> reverse the effect of MH</w:t>
      </w:r>
      <w:r>
        <w:rPr>
          <w:rFonts w:ascii="Arial" w:hAnsi="Arial" w:cs="Arial"/>
        </w:rPr>
        <w:t>.</w:t>
      </w:r>
    </w:p>
    <w:p w14:paraId="19E992A4" w14:textId="77777777" w:rsidR="00F65501" w:rsidRDefault="00F65501" w:rsidP="00F71948">
      <w:pPr>
        <w:pStyle w:val="NormalWeb"/>
        <w:tabs>
          <w:tab w:val="left" w:pos="851"/>
          <w:tab w:val="left" w:pos="9923"/>
        </w:tabs>
        <w:ind w:left="720" w:right="271"/>
        <w:rPr>
          <w:rFonts w:ascii="Arial" w:hAnsi="Arial" w:cs="Arial"/>
        </w:rPr>
      </w:pPr>
      <w:r>
        <w:rPr>
          <w:rFonts w:ascii="Arial" w:hAnsi="Arial" w:cs="Arial"/>
        </w:rPr>
        <w:t xml:space="preserve">5.4 </w:t>
      </w:r>
      <w:r w:rsidRPr="00F65501">
        <w:rPr>
          <w:rFonts w:ascii="Arial" w:hAnsi="Arial" w:cs="Arial"/>
        </w:rPr>
        <w:t>Her action was challenged in the High Court (RF [2017] EWHC 3375 (Admin)).  Judgement was issued on 21 December 2017 and the amended Regulations were consequently quashed</w:t>
      </w:r>
      <w:r>
        <w:rPr>
          <w:rFonts w:ascii="Arial" w:hAnsi="Arial" w:cs="Arial"/>
        </w:rPr>
        <w:t>.</w:t>
      </w:r>
    </w:p>
    <w:p w14:paraId="0F2B0F9B" w14:textId="77777777" w:rsidR="00C90E71" w:rsidRDefault="00F65501" w:rsidP="00C90E71">
      <w:pPr>
        <w:tabs>
          <w:tab w:val="left" w:pos="0"/>
        </w:tabs>
        <w:spacing w:after="0" w:line="240" w:lineRule="auto"/>
        <w:ind w:left="709" w:right="555"/>
        <w:contextualSpacing/>
        <w:rPr>
          <w:rFonts w:ascii="Arial" w:eastAsia="Times New Roman" w:hAnsi="Arial" w:cs="Arial"/>
          <w:sz w:val="24"/>
          <w:szCs w:val="20"/>
        </w:rPr>
      </w:pPr>
      <w:r w:rsidRPr="00C90E71">
        <w:rPr>
          <w:rFonts w:ascii="Arial" w:hAnsi="Arial" w:cs="Arial"/>
          <w:sz w:val="24"/>
          <w:szCs w:val="24"/>
        </w:rPr>
        <w:t>5.5</w:t>
      </w:r>
      <w:r>
        <w:rPr>
          <w:rFonts w:ascii="Arial" w:hAnsi="Arial" w:cs="Arial"/>
        </w:rPr>
        <w:t xml:space="preserve"> </w:t>
      </w:r>
      <w:r w:rsidRPr="00C90E71">
        <w:rPr>
          <w:rFonts w:ascii="Arial" w:hAnsi="Arial" w:cs="Arial"/>
          <w:sz w:val="24"/>
          <w:szCs w:val="24"/>
        </w:rPr>
        <w:t>A</w:t>
      </w:r>
      <w:r w:rsidR="00C90E71">
        <w:rPr>
          <w:rFonts w:ascii="Arial" w:eastAsia="Times New Roman" w:hAnsi="Arial" w:cs="Arial"/>
          <w:sz w:val="24"/>
          <w:szCs w:val="24"/>
        </w:rPr>
        <w:t xml:space="preserve"> </w:t>
      </w:r>
      <w:r w:rsidR="00C90E71" w:rsidRPr="003729EE">
        <w:rPr>
          <w:rFonts w:ascii="Arial" w:eastAsia="Times New Roman" w:hAnsi="Arial" w:cs="Arial"/>
          <w:sz w:val="24"/>
          <w:szCs w:val="20"/>
        </w:rPr>
        <w:t xml:space="preserve">3JP </w:t>
      </w:r>
      <w:r w:rsidR="00C90E71">
        <w:rPr>
          <w:rFonts w:ascii="Arial" w:eastAsia="Times New Roman" w:hAnsi="Arial" w:cs="Arial"/>
          <w:sz w:val="24"/>
          <w:szCs w:val="20"/>
        </w:rPr>
        <w:t xml:space="preserve"> </w:t>
      </w:r>
      <w:r w:rsidR="00C90E71" w:rsidRPr="003729EE">
        <w:rPr>
          <w:rFonts w:ascii="Arial" w:eastAsia="Times New Roman" w:hAnsi="Arial" w:cs="Arial"/>
          <w:sz w:val="24"/>
          <w:szCs w:val="20"/>
        </w:rPr>
        <w:t>held in [2017] AACR 32 ( RJ, GMcL and CS v Secretary of State for Work and Pensions (PIP) [2017] UKUT 105 (AAC)) that an assessment under paragraph 4(2A)(a) of the PIP Regulations that an activity cannot be carried out safely did not require that the occurrence of harm was “more likely than not”, a tribunal must consider whether there was a real possibility that could not be ignored of harm occurring, having regard to the nature and gravity of the feared harm in the particular case. Both the likelihood of the harm occurring, and the severity of the consequences were relevant</w:t>
      </w:r>
      <w:r w:rsidR="00C90E71">
        <w:rPr>
          <w:rFonts w:ascii="Arial" w:eastAsia="Times New Roman" w:hAnsi="Arial" w:cs="Arial"/>
          <w:sz w:val="24"/>
          <w:szCs w:val="20"/>
        </w:rPr>
        <w:t xml:space="preserve"> </w:t>
      </w:r>
      <w:proofErr w:type="gramStart"/>
      <w:r w:rsidR="00C90E71" w:rsidRPr="003729EE">
        <w:rPr>
          <w:rFonts w:ascii="Arial" w:eastAsia="Times New Roman" w:hAnsi="Arial" w:cs="Arial"/>
          <w:sz w:val="24"/>
          <w:szCs w:val="20"/>
        </w:rPr>
        <w:t>The</w:t>
      </w:r>
      <w:proofErr w:type="gramEnd"/>
      <w:r w:rsidR="00C90E71" w:rsidRPr="003729EE">
        <w:rPr>
          <w:rFonts w:ascii="Arial" w:eastAsia="Times New Roman" w:hAnsi="Arial" w:cs="Arial"/>
          <w:sz w:val="24"/>
          <w:szCs w:val="20"/>
        </w:rPr>
        <w:t xml:space="preserve"> 3JP also held that if, for the majority of days, a claimant was unable to carry out an activity safely or required supervision to do so, then the relevant descriptor applied. That may be so even though the harmful event or the event which triggered the risk </w:t>
      </w:r>
      <w:proofErr w:type="gramStart"/>
      <w:r w:rsidR="00C90E71" w:rsidRPr="003729EE">
        <w:rPr>
          <w:rFonts w:ascii="Arial" w:eastAsia="Times New Roman" w:hAnsi="Arial" w:cs="Arial"/>
          <w:sz w:val="24"/>
          <w:szCs w:val="20"/>
        </w:rPr>
        <w:t>actually occurred</w:t>
      </w:r>
      <w:proofErr w:type="gramEnd"/>
      <w:r w:rsidR="00C90E71" w:rsidRPr="003729EE">
        <w:rPr>
          <w:rFonts w:ascii="Arial" w:eastAsia="Times New Roman" w:hAnsi="Arial" w:cs="Arial"/>
          <w:sz w:val="24"/>
          <w:szCs w:val="20"/>
        </w:rPr>
        <w:t xml:space="preserve"> on less than 50 per cent of the days</w:t>
      </w:r>
      <w:r w:rsidR="00C90E71">
        <w:rPr>
          <w:rFonts w:ascii="Arial" w:eastAsia="Times New Roman" w:hAnsi="Arial" w:cs="Arial"/>
          <w:sz w:val="24"/>
          <w:szCs w:val="20"/>
        </w:rPr>
        <w:t>.</w:t>
      </w:r>
    </w:p>
    <w:p w14:paraId="2E1E69DA" w14:textId="77777777" w:rsidR="00C90E71" w:rsidRDefault="00C90E71" w:rsidP="00C90E71">
      <w:pPr>
        <w:tabs>
          <w:tab w:val="left" w:pos="0"/>
        </w:tabs>
        <w:spacing w:after="0" w:line="240" w:lineRule="auto"/>
        <w:ind w:left="709" w:right="555"/>
        <w:contextualSpacing/>
        <w:rPr>
          <w:rFonts w:ascii="Arial" w:eastAsia="Times New Roman" w:hAnsi="Arial" w:cs="Arial"/>
          <w:sz w:val="24"/>
          <w:szCs w:val="20"/>
        </w:rPr>
      </w:pPr>
    </w:p>
    <w:p w14:paraId="3D0ED799" w14:textId="70413043" w:rsidR="00F65501" w:rsidRDefault="00C90E71" w:rsidP="00C90E71">
      <w:pPr>
        <w:tabs>
          <w:tab w:val="left" w:pos="0"/>
        </w:tabs>
        <w:spacing w:after="0" w:line="240" w:lineRule="auto"/>
        <w:ind w:left="709" w:right="555"/>
        <w:contextualSpacing/>
        <w:rPr>
          <w:rFonts w:ascii="Arial" w:hAnsi="Arial" w:cs="Arial"/>
          <w:sz w:val="24"/>
          <w:szCs w:val="24"/>
        </w:rPr>
      </w:pPr>
      <w:r>
        <w:rPr>
          <w:rFonts w:ascii="Arial" w:hAnsi="Arial" w:cs="Arial"/>
          <w:sz w:val="24"/>
          <w:szCs w:val="24"/>
        </w:rPr>
        <w:t xml:space="preserve">5.6 </w:t>
      </w:r>
      <w:r w:rsidRPr="00C90E71">
        <w:rPr>
          <w:rFonts w:ascii="Arial" w:hAnsi="Arial" w:cs="Arial"/>
          <w:sz w:val="24"/>
          <w:szCs w:val="24"/>
        </w:rPr>
        <w:t xml:space="preserve">The </w:t>
      </w:r>
      <w:r>
        <w:rPr>
          <w:rFonts w:ascii="Arial" w:hAnsi="Arial" w:cs="Arial"/>
          <w:sz w:val="24"/>
          <w:szCs w:val="24"/>
        </w:rPr>
        <w:t>3JP issued its decision on 9 March 2017.  It was again a statement of the law as it always had been as regards the application of Regulation 4(2A)</w:t>
      </w:r>
    </w:p>
    <w:p w14:paraId="6F00163E" w14:textId="77777777" w:rsidR="00C90E71" w:rsidRDefault="00C90E71" w:rsidP="00C90E71">
      <w:pPr>
        <w:tabs>
          <w:tab w:val="left" w:pos="0"/>
        </w:tabs>
        <w:spacing w:after="0" w:line="240" w:lineRule="auto"/>
        <w:ind w:left="709" w:right="555"/>
        <w:contextualSpacing/>
        <w:rPr>
          <w:rFonts w:ascii="Arial" w:hAnsi="Arial" w:cs="Arial"/>
          <w:sz w:val="24"/>
          <w:szCs w:val="24"/>
        </w:rPr>
      </w:pPr>
    </w:p>
    <w:p w14:paraId="6313F350" w14:textId="4E756334" w:rsidR="00C90E71" w:rsidRDefault="00C90E71" w:rsidP="00C90E71">
      <w:pPr>
        <w:tabs>
          <w:tab w:val="left" w:pos="0"/>
        </w:tabs>
        <w:spacing w:after="0" w:line="240" w:lineRule="auto"/>
        <w:ind w:left="709" w:right="555"/>
        <w:contextualSpacing/>
        <w:rPr>
          <w:rFonts w:ascii="Arial" w:hAnsi="Arial" w:cs="Arial"/>
          <w:sz w:val="24"/>
          <w:szCs w:val="24"/>
        </w:rPr>
      </w:pPr>
      <w:r>
        <w:rPr>
          <w:rFonts w:ascii="Arial" w:hAnsi="Arial" w:cs="Arial"/>
          <w:sz w:val="24"/>
          <w:szCs w:val="24"/>
        </w:rPr>
        <w:t>5.7 The Respondent did not challenge the 3JP’s decision in RJ.</w:t>
      </w:r>
    </w:p>
    <w:p w14:paraId="260266EC" w14:textId="77777777" w:rsidR="00C90E71" w:rsidRDefault="00C90E71" w:rsidP="00C90E71">
      <w:pPr>
        <w:tabs>
          <w:tab w:val="left" w:pos="0"/>
        </w:tabs>
        <w:spacing w:after="0" w:line="240" w:lineRule="auto"/>
        <w:ind w:left="709" w:right="555"/>
        <w:contextualSpacing/>
        <w:rPr>
          <w:rFonts w:ascii="Arial" w:hAnsi="Arial" w:cs="Arial"/>
          <w:sz w:val="24"/>
          <w:szCs w:val="24"/>
        </w:rPr>
      </w:pPr>
    </w:p>
    <w:p w14:paraId="591B1FEE" w14:textId="77199D12" w:rsidR="00C90E71" w:rsidRPr="00E865A5" w:rsidRDefault="00C90E71" w:rsidP="00C90E71">
      <w:pPr>
        <w:tabs>
          <w:tab w:val="left" w:pos="0"/>
        </w:tabs>
        <w:spacing w:after="0" w:line="240" w:lineRule="auto"/>
        <w:ind w:left="709" w:right="555"/>
        <w:contextualSpacing/>
        <w:rPr>
          <w:rFonts w:ascii="Arial" w:eastAsia="Times New Roman" w:hAnsi="Arial" w:cs="Arial"/>
          <w:i/>
          <w:iCs/>
          <w:sz w:val="24"/>
          <w:szCs w:val="20"/>
        </w:rPr>
      </w:pPr>
      <w:r>
        <w:rPr>
          <w:rFonts w:ascii="Arial" w:hAnsi="Arial" w:cs="Arial"/>
          <w:sz w:val="24"/>
          <w:szCs w:val="24"/>
        </w:rPr>
        <w:t xml:space="preserve">5.8 The consequence </w:t>
      </w:r>
      <w:r w:rsidR="00E865A5">
        <w:rPr>
          <w:rFonts w:ascii="Arial" w:hAnsi="Arial" w:cs="Arial"/>
          <w:sz w:val="24"/>
          <w:szCs w:val="24"/>
        </w:rPr>
        <w:t>of the events surrounding MH and RJ is that the Respondent was effectively forced to admit that claimants may have been wrongfully denied benefit and that their cases must be revisited and revised (</w:t>
      </w:r>
      <w:r w:rsidR="00E865A5" w:rsidRPr="00E865A5">
        <w:rPr>
          <w:rFonts w:ascii="Arial" w:hAnsi="Arial" w:cs="Arial"/>
          <w:i/>
          <w:iCs/>
          <w:sz w:val="24"/>
          <w:szCs w:val="24"/>
        </w:rPr>
        <w:t>the ground for revision would be official error)</w:t>
      </w:r>
    </w:p>
    <w:p w14:paraId="5D9C7B06" w14:textId="1A3064D1" w:rsidR="00F96144" w:rsidRDefault="005755E7" w:rsidP="004E42F0">
      <w:pPr>
        <w:pStyle w:val="NormalWeb"/>
        <w:numPr>
          <w:ilvl w:val="0"/>
          <w:numId w:val="2"/>
        </w:numPr>
        <w:tabs>
          <w:tab w:val="left" w:pos="851"/>
          <w:tab w:val="left" w:pos="9923"/>
        </w:tabs>
        <w:ind w:right="271"/>
        <w:rPr>
          <w:rFonts w:ascii="Arial" w:hAnsi="Arial" w:cs="Arial"/>
        </w:rPr>
      </w:pPr>
      <w:r>
        <w:rPr>
          <w:rFonts w:ascii="Arial" w:hAnsi="Arial" w:cs="Arial"/>
        </w:rPr>
        <w:t>The Respondent is arguably acting in the same manner when he avers (</w:t>
      </w:r>
      <w:r w:rsidR="00D44AB5">
        <w:rPr>
          <w:rFonts w:ascii="Arial" w:hAnsi="Arial" w:cs="Arial"/>
        </w:rPr>
        <w:t>S4(2) page D)</w:t>
      </w:r>
    </w:p>
    <w:p w14:paraId="66BEFFB2" w14:textId="4F1D170E" w:rsidR="00D00543" w:rsidRDefault="00D44AB5" w:rsidP="00D44AB5">
      <w:pPr>
        <w:pStyle w:val="NormalWeb"/>
        <w:tabs>
          <w:tab w:val="left" w:pos="851"/>
          <w:tab w:val="left" w:pos="9923"/>
        </w:tabs>
        <w:ind w:left="1701" w:right="1405"/>
        <w:rPr>
          <w:rFonts w:ascii="Arial" w:hAnsi="Arial" w:cs="Arial"/>
        </w:rPr>
      </w:pPr>
      <w:r>
        <w:rPr>
          <w:rFonts w:ascii="Arial" w:hAnsi="Arial" w:cs="Arial"/>
        </w:rPr>
        <w:t xml:space="preserve">Under the law relating to the benefit the claimant cannot be awarded an indefinite award if he has limited </w:t>
      </w:r>
      <w:proofErr w:type="gramStart"/>
      <w:r>
        <w:rPr>
          <w:rFonts w:ascii="Arial" w:hAnsi="Arial" w:cs="Arial"/>
        </w:rPr>
        <w:t>a</w:t>
      </w:r>
      <w:proofErr w:type="gramEnd"/>
      <w:r>
        <w:rPr>
          <w:rFonts w:ascii="Arial" w:hAnsi="Arial" w:cs="Arial"/>
        </w:rPr>
        <w:t xml:space="preserve"> end date of his leave to remain in the country therefore the award is limited to that date i.e. 30/11/2024</w:t>
      </w:r>
    </w:p>
    <w:p w14:paraId="3ADA8B97" w14:textId="4D78713A" w:rsidR="00D44AB5" w:rsidRDefault="00D44AB5" w:rsidP="00272848">
      <w:pPr>
        <w:pStyle w:val="NormalWeb"/>
        <w:numPr>
          <w:ilvl w:val="0"/>
          <w:numId w:val="2"/>
        </w:numPr>
        <w:tabs>
          <w:tab w:val="left" w:pos="851"/>
          <w:tab w:val="left" w:pos="9923"/>
        </w:tabs>
        <w:spacing w:before="0" w:beforeAutospacing="0" w:after="0" w:afterAutospacing="0"/>
        <w:ind w:right="271"/>
        <w:rPr>
          <w:rFonts w:ascii="Arial" w:hAnsi="Arial" w:cs="Arial"/>
        </w:rPr>
      </w:pPr>
      <w:r>
        <w:rPr>
          <w:rFonts w:ascii="Arial" w:hAnsi="Arial" w:cs="Arial"/>
        </w:rPr>
        <w:t xml:space="preserve">I take issue with the Respondent’s statement that as a matter of law Mr </w:t>
      </w:r>
      <w:r w:rsidR="00E3398E">
        <w:rPr>
          <w:rFonts w:ascii="Arial" w:hAnsi="Arial" w:cs="Arial"/>
        </w:rPr>
        <w:t>X</w:t>
      </w:r>
      <w:r>
        <w:rPr>
          <w:rFonts w:ascii="Arial" w:hAnsi="Arial" w:cs="Arial"/>
        </w:rPr>
        <w:t xml:space="preserve"> cannot be awarded an indefinite award.</w:t>
      </w:r>
    </w:p>
    <w:p w14:paraId="06B333B7" w14:textId="77777777" w:rsidR="00D44AB5" w:rsidRPr="00D44AB5" w:rsidRDefault="00D44AB5" w:rsidP="00272848">
      <w:pPr>
        <w:pStyle w:val="NormalWeb"/>
        <w:tabs>
          <w:tab w:val="left" w:pos="851"/>
          <w:tab w:val="left" w:pos="9923"/>
        </w:tabs>
        <w:spacing w:before="0" w:beforeAutospacing="0" w:after="0" w:afterAutospacing="0"/>
        <w:ind w:left="720" w:right="271"/>
        <w:rPr>
          <w:rFonts w:ascii="Arial" w:hAnsi="Arial" w:cs="Arial"/>
        </w:rPr>
      </w:pPr>
    </w:p>
    <w:p w14:paraId="409BB1EA" w14:textId="2736405C" w:rsidR="00D44AB5" w:rsidRDefault="00D44AB5" w:rsidP="00272848">
      <w:pPr>
        <w:pStyle w:val="NormalWeb"/>
        <w:numPr>
          <w:ilvl w:val="0"/>
          <w:numId w:val="2"/>
        </w:numPr>
        <w:tabs>
          <w:tab w:val="left" w:pos="851"/>
          <w:tab w:val="left" w:pos="9923"/>
        </w:tabs>
        <w:spacing w:before="0" w:beforeAutospacing="0" w:after="0" w:afterAutospacing="0"/>
        <w:ind w:right="271"/>
        <w:rPr>
          <w:rFonts w:ascii="Arial" w:hAnsi="Arial" w:cs="Arial"/>
        </w:rPr>
      </w:pPr>
      <w:r>
        <w:rPr>
          <w:rFonts w:ascii="Arial" w:hAnsi="Arial" w:cs="Arial"/>
        </w:rPr>
        <w:t>The Respondent has not cited any legislation which provides that an indefinite award cannot be made in the circumstances although I concede that there will be practical consequences for the Respondent if such an award were made.</w:t>
      </w:r>
    </w:p>
    <w:p w14:paraId="526576FE" w14:textId="77777777" w:rsidR="00D44AB5" w:rsidRDefault="00D44AB5" w:rsidP="00272848">
      <w:pPr>
        <w:pStyle w:val="ListParagraph"/>
        <w:spacing w:after="0" w:line="240" w:lineRule="auto"/>
        <w:rPr>
          <w:rFonts w:ascii="Arial" w:hAnsi="Arial" w:cs="Arial"/>
        </w:rPr>
      </w:pPr>
    </w:p>
    <w:p w14:paraId="7DD43E42" w14:textId="1567E60C" w:rsidR="00D44AB5" w:rsidRDefault="00D44AB5" w:rsidP="00272848">
      <w:pPr>
        <w:pStyle w:val="NormalWeb"/>
        <w:numPr>
          <w:ilvl w:val="0"/>
          <w:numId w:val="2"/>
        </w:numPr>
        <w:tabs>
          <w:tab w:val="left" w:pos="851"/>
          <w:tab w:val="left" w:pos="9923"/>
        </w:tabs>
        <w:spacing w:before="0" w:beforeAutospacing="0" w:after="0" w:afterAutospacing="0"/>
        <w:ind w:right="271"/>
        <w:rPr>
          <w:rFonts w:ascii="Arial" w:hAnsi="Arial" w:cs="Arial"/>
        </w:rPr>
      </w:pPr>
      <w:r>
        <w:rPr>
          <w:rFonts w:ascii="Arial" w:hAnsi="Arial" w:cs="Arial"/>
        </w:rPr>
        <w:lastRenderedPageBreak/>
        <w:t xml:space="preserve">There are equally practical consequences for Mr </w:t>
      </w:r>
      <w:r w:rsidR="00E3398E">
        <w:rPr>
          <w:rFonts w:ascii="Arial" w:hAnsi="Arial" w:cs="Arial"/>
        </w:rPr>
        <w:t>X</w:t>
      </w:r>
      <w:r>
        <w:rPr>
          <w:rFonts w:ascii="Arial" w:hAnsi="Arial" w:cs="Arial"/>
        </w:rPr>
        <w:t xml:space="preserve"> every time the Respondent makes a finite award which is due to end on the supposed end date of Mr </w:t>
      </w:r>
      <w:r w:rsidR="00E3398E">
        <w:rPr>
          <w:rFonts w:ascii="Arial" w:hAnsi="Arial" w:cs="Arial"/>
        </w:rPr>
        <w:t>X</w:t>
      </w:r>
      <w:r w:rsidR="00016D47">
        <w:rPr>
          <w:rFonts w:ascii="Arial" w:hAnsi="Arial" w:cs="Arial"/>
        </w:rPr>
        <w:t>’ s</w:t>
      </w:r>
      <w:r>
        <w:rPr>
          <w:rFonts w:ascii="Arial" w:hAnsi="Arial" w:cs="Arial"/>
        </w:rPr>
        <w:t xml:space="preserve"> leave to remain and this is compounded by the way the Respondent deals with any renewal claim.</w:t>
      </w:r>
    </w:p>
    <w:p w14:paraId="561FE413" w14:textId="77777777" w:rsidR="00D44AB5" w:rsidRPr="00272848" w:rsidRDefault="00D44AB5" w:rsidP="00272848">
      <w:pPr>
        <w:spacing w:after="0"/>
        <w:rPr>
          <w:rFonts w:ascii="Arial" w:hAnsi="Arial" w:cs="Arial"/>
        </w:rPr>
      </w:pPr>
    </w:p>
    <w:p w14:paraId="6448C0F8" w14:textId="3627DFD5" w:rsidR="00D44AB5" w:rsidRDefault="00272848" w:rsidP="00272848">
      <w:pPr>
        <w:pStyle w:val="NormalWeb"/>
        <w:numPr>
          <w:ilvl w:val="0"/>
          <w:numId w:val="2"/>
        </w:numPr>
        <w:tabs>
          <w:tab w:val="left" w:pos="851"/>
          <w:tab w:val="left" w:pos="9923"/>
        </w:tabs>
        <w:spacing w:before="0" w:beforeAutospacing="0" w:after="0" w:afterAutospacing="0"/>
        <w:ind w:right="271"/>
        <w:rPr>
          <w:rFonts w:ascii="Arial" w:hAnsi="Arial" w:cs="Arial"/>
        </w:rPr>
      </w:pPr>
      <w:r>
        <w:rPr>
          <w:rFonts w:ascii="Arial" w:hAnsi="Arial" w:cs="Arial"/>
        </w:rPr>
        <w:t xml:space="preserve">Mr </w:t>
      </w:r>
      <w:r w:rsidR="00E3398E">
        <w:rPr>
          <w:rFonts w:ascii="Arial" w:hAnsi="Arial" w:cs="Arial"/>
        </w:rPr>
        <w:t>X</w:t>
      </w:r>
      <w:r>
        <w:rPr>
          <w:rFonts w:ascii="Arial" w:hAnsi="Arial" w:cs="Arial"/>
        </w:rPr>
        <w:t xml:space="preserve"> always applies for a variation of his leave to remain before it expires but there is always a delay by the Immigration Authorities in processing that application.</w:t>
      </w:r>
    </w:p>
    <w:p w14:paraId="5606264D" w14:textId="77777777" w:rsidR="00272848" w:rsidRDefault="00272848" w:rsidP="00272848">
      <w:pPr>
        <w:pStyle w:val="ListParagraph"/>
        <w:spacing w:after="0"/>
        <w:rPr>
          <w:rFonts w:ascii="Arial" w:hAnsi="Arial" w:cs="Arial"/>
        </w:rPr>
      </w:pPr>
    </w:p>
    <w:p w14:paraId="75DCD784" w14:textId="1CB4E1F2" w:rsidR="00272848" w:rsidRPr="00272848" w:rsidRDefault="00272848" w:rsidP="00272848">
      <w:pPr>
        <w:pStyle w:val="ListParagraph"/>
        <w:numPr>
          <w:ilvl w:val="0"/>
          <w:numId w:val="2"/>
        </w:numPr>
        <w:rPr>
          <w:rFonts w:ascii="Arial" w:eastAsia="Calibri" w:hAnsi="Arial" w:cs="Arial"/>
          <w:sz w:val="24"/>
          <w:szCs w:val="24"/>
        </w:rPr>
      </w:pPr>
      <w:r w:rsidRPr="00272848">
        <w:rPr>
          <w:rFonts w:ascii="Arial" w:hAnsi="Arial" w:cs="Arial"/>
          <w:sz w:val="24"/>
          <w:szCs w:val="24"/>
        </w:rPr>
        <w:t xml:space="preserve">This is of no consequence from an Immigration point of view because </w:t>
      </w:r>
      <w:r w:rsidRPr="00272848">
        <w:rPr>
          <w:rFonts w:ascii="Arial" w:eastAsia="Calibri" w:hAnsi="Arial" w:cs="Arial"/>
          <w:sz w:val="24"/>
          <w:szCs w:val="24"/>
        </w:rPr>
        <w:t xml:space="preserve">S3C of the Immigration Act 1971 as amended provides in so far as is relevant </w:t>
      </w:r>
      <w:r w:rsidR="002632BB" w:rsidRPr="00272848">
        <w:rPr>
          <w:rFonts w:ascii="Arial" w:eastAsia="Calibri" w:hAnsi="Arial" w:cs="Arial"/>
          <w:sz w:val="24"/>
          <w:szCs w:val="24"/>
        </w:rPr>
        <w:t>(the</w:t>
      </w:r>
      <w:r w:rsidRPr="00272848">
        <w:rPr>
          <w:rFonts w:ascii="Arial" w:eastAsia="Calibri" w:hAnsi="Arial" w:cs="Arial"/>
          <w:sz w:val="24"/>
          <w:szCs w:val="24"/>
        </w:rPr>
        <w:t xml:space="preserve"> emphasis is mine)</w:t>
      </w:r>
    </w:p>
    <w:p w14:paraId="3444CCAE" w14:textId="77777777" w:rsidR="00272848" w:rsidRPr="00272848" w:rsidRDefault="00272848" w:rsidP="00272848">
      <w:pPr>
        <w:spacing w:after="0" w:line="240" w:lineRule="auto"/>
        <w:rPr>
          <w:rFonts w:ascii="Arial" w:eastAsia="Calibri" w:hAnsi="Arial" w:cs="Arial"/>
          <w:sz w:val="24"/>
          <w:szCs w:val="24"/>
        </w:rPr>
      </w:pPr>
    </w:p>
    <w:p w14:paraId="4E6CEE13" w14:textId="77777777" w:rsidR="00272848" w:rsidRPr="00272848" w:rsidRDefault="00272848" w:rsidP="00272848">
      <w:pPr>
        <w:spacing w:after="0" w:line="240" w:lineRule="auto"/>
        <w:ind w:left="1276"/>
        <w:rPr>
          <w:rFonts w:ascii="Arial" w:eastAsia="Calibri" w:hAnsi="Arial" w:cs="Arial"/>
          <w:b/>
          <w:bCs/>
          <w:sz w:val="24"/>
          <w:szCs w:val="24"/>
        </w:rPr>
      </w:pPr>
      <w:r w:rsidRPr="00272848">
        <w:rPr>
          <w:rFonts w:ascii="Arial" w:eastAsia="Calibri" w:hAnsi="Arial" w:cs="Arial"/>
          <w:b/>
          <w:bCs/>
          <w:sz w:val="24"/>
          <w:szCs w:val="24"/>
        </w:rPr>
        <w:t xml:space="preserve">Continuation of leave pending variation </w:t>
      </w:r>
      <w:proofErr w:type="gramStart"/>
      <w:r w:rsidRPr="00272848">
        <w:rPr>
          <w:rFonts w:ascii="Arial" w:eastAsia="Calibri" w:hAnsi="Arial" w:cs="Arial"/>
          <w:b/>
          <w:bCs/>
          <w:sz w:val="24"/>
          <w:szCs w:val="24"/>
        </w:rPr>
        <w:t>decision</w:t>
      </w:r>
      <w:proofErr w:type="gramEnd"/>
    </w:p>
    <w:p w14:paraId="43F637F4" w14:textId="77777777" w:rsidR="00272848" w:rsidRPr="00272848" w:rsidRDefault="00272848" w:rsidP="00272848">
      <w:pPr>
        <w:spacing w:after="0" w:line="240" w:lineRule="auto"/>
        <w:ind w:left="1276"/>
        <w:rPr>
          <w:rFonts w:ascii="Arial" w:eastAsia="Calibri" w:hAnsi="Arial" w:cs="Arial"/>
          <w:sz w:val="24"/>
          <w:szCs w:val="24"/>
        </w:rPr>
      </w:pPr>
    </w:p>
    <w:p w14:paraId="57CD5871" w14:textId="77777777" w:rsidR="00272848" w:rsidRPr="00272848" w:rsidRDefault="00272848" w:rsidP="00272848">
      <w:pPr>
        <w:spacing w:after="0" w:line="240" w:lineRule="auto"/>
        <w:ind w:left="1276"/>
        <w:rPr>
          <w:rFonts w:ascii="Arial" w:eastAsia="Calibri" w:hAnsi="Arial" w:cs="Arial"/>
          <w:sz w:val="24"/>
          <w:szCs w:val="24"/>
        </w:rPr>
      </w:pPr>
      <w:r w:rsidRPr="00272848">
        <w:rPr>
          <w:rFonts w:ascii="Arial" w:eastAsia="Calibri" w:hAnsi="Arial" w:cs="Arial"/>
          <w:sz w:val="24"/>
          <w:szCs w:val="24"/>
        </w:rPr>
        <w:t>(1) This section applies if—</w:t>
      </w:r>
    </w:p>
    <w:p w14:paraId="7BC6C7DB" w14:textId="77777777" w:rsidR="00272848" w:rsidRPr="00272848" w:rsidRDefault="00272848" w:rsidP="00272848">
      <w:pPr>
        <w:spacing w:after="0" w:line="240" w:lineRule="auto"/>
        <w:ind w:left="1276"/>
        <w:rPr>
          <w:rFonts w:ascii="Arial" w:eastAsia="Calibri" w:hAnsi="Arial" w:cs="Arial"/>
          <w:sz w:val="24"/>
          <w:szCs w:val="24"/>
        </w:rPr>
      </w:pPr>
      <w:r w:rsidRPr="00272848">
        <w:rPr>
          <w:rFonts w:ascii="Arial" w:eastAsia="Calibri" w:hAnsi="Arial" w:cs="Arial"/>
          <w:sz w:val="24"/>
          <w:szCs w:val="24"/>
        </w:rPr>
        <w:t>(a) a person who has limited leave to enter or remain in the United Kingdom applies to the Secretary of State for variation of the leave,</w:t>
      </w:r>
    </w:p>
    <w:p w14:paraId="13EE107A" w14:textId="77777777" w:rsidR="00272848" w:rsidRPr="00272848" w:rsidRDefault="00272848" w:rsidP="00272848">
      <w:pPr>
        <w:spacing w:after="0" w:line="240" w:lineRule="auto"/>
        <w:ind w:left="1276"/>
        <w:rPr>
          <w:rFonts w:ascii="Arial" w:eastAsia="Calibri" w:hAnsi="Arial" w:cs="Arial"/>
          <w:sz w:val="24"/>
          <w:szCs w:val="24"/>
        </w:rPr>
      </w:pPr>
      <w:r w:rsidRPr="00272848">
        <w:rPr>
          <w:rFonts w:ascii="Arial" w:eastAsia="Calibri" w:hAnsi="Arial" w:cs="Arial"/>
          <w:sz w:val="24"/>
          <w:szCs w:val="24"/>
        </w:rPr>
        <w:t xml:space="preserve">(b) the application for variation is made before the </w:t>
      </w:r>
      <w:proofErr w:type="spellStart"/>
      <w:r w:rsidRPr="00272848">
        <w:rPr>
          <w:rFonts w:ascii="Arial" w:eastAsia="Calibri" w:hAnsi="Arial" w:cs="Arial"/>
          <w:sz w:val="24"/>
          <w:szCs w:val="24"/>
        </w:rPr>
        <w:t>leave</w:t>
      </w:r>
      <w:proofErr w:type="spellEnd"/>
      <w:r w:rsidRPr="00272848">
        <w:rPr>
          <w:rFonts w:ascii="Arial" w:eastAsia="Calibri" w:hAnsi="Arial" w:cs="Arial"/>
          <w:sz w:val="24"/>
          <w:szCs w:val="24"/>
        </w:rPr>
        <w:t xml:space="preserve"> expires, and</w:t>
      </w:r>
    </w:p>
    <w:p w14:paraId="2EFACBCC" w14:textId="77777777" w:rsidR="00272848" w:rsidRPr="00272848" w:rsidRDefault="00272848" w:rsidP="00272848">
      <w:pPr>
        <w:spacing w:after="0" w:line="240" w:lineRule="auto"/>
        <w:ind w:left="1276"/>
        <w:rPr>
          <w:rFonts w:ascii="Arial" w:eastAsia="Calibri" w:hAnsi="Arial" w:cs="Arial"/>
          <w:sz w:val="24"/>
          <w:szCs w:val="24"/>
        </w:rPr>
      </w:pPr>
      <w:r w:rsidRPr="00272848">
        <w:rPr>
          <w:rFonts w:ascii="Arial" w:eastAsia="Calibri" w:hAnsi="Arial" w:cs="Arial"/>
          <w:sz w:val="24"/>
          <w:szCs w:val="24"/>
        </w:rPr>
        <w:t xml:space="preserve">(c) the </w:t>
      </w:r>
      <w:proofErr w:type="spellStart"/>
      <w:r w:rsidRPr="00272848">
        <w:rPr>
          <w:rFonts w:ascii="Arial" w:eastAsia="Calibri" w:hAnsi="Arial" w:cs="Arial"/>
          <w:sz w:val="24"/>
          <w:szCs w:val="24"/>
        </w:rPr>
        <w:t>leave</w:t>
      </w:r>
      <w:proofErr w:type="spellEnd"/>
      <w:r w:rsidRPr="00272848">
        <w:rPr>
          <w:rFonts w:ascii="Arial" w:eastAsia="Calibri" w:hAnsi="Arial" w:cs="Arial"/>
          <w:sz w:val="24"/>
          <w:szCs w:val="24"/>
        </w:rPr>
        <w:t xml:space="preserve"> expires without the application for variation having been decided.</w:t>
      </w:r>
    </w:p>
    <w:p w14:paraId="666922C7" w14:textId="77777777" w:rsidR="00272848" w:rsidRPr="00272848" w:rsidRDefault="00272848" w:rsidP="00272848">
      <w:pPr>
        <w:spacing w:after="0" w:line="240" w:lineRule="auto"/>
        <w:ind w:left="1276"/>
        <w:rPr>
          <w:rFonts w:ascii="Arial" w:eastAsia="Calibri" w:hAnsi="Arial" w:cs="Arial"/>
          <w:sz w:val="24"/>
          <w:szCs w:val="24"/>
        </w:rPr>
      </w:pPr>
    </w:p>
    <w:p w14:paraId="6A682C0B" w14:textId="77777777" w:rsidR="00272848" w:rsidRPr="00272848" w:rsidRDefault="00272848" w:rsidP="00272848">
      <w:pPr>
        <w:spacing w:after="0" w:line="240" w:lineRule="auto"/>
        <w:ind w:left="1276"/>
        <w:rPr>
          <w:rFonts w:ascii="Arial" w:eastAsia="Calibri" w:hAnsi="Arial" w:cs="Arial"/>
          <w:b/>
          <w:bCs/>
          <w:sz w:val="24"/>
          <w:szCs w:val="24"/>
        </w:rPr>
      </w:pPr>
      <w:r w:rsidRPr="00272848">
        <w:rPr>
          <w:rFonts w:ascii="Arial" w:eastAsia="Calibri" w:hAnsi="Arial" w:cs="Arial"/>
          <w:b/>
          <w:bCs/>
          <w:sz w:val="24"/>
          <w:szCs w:val="24"/>
        </w:rPr>
        <w:t>(2) The leave is extended by virtue of this section during any period when—</w:t>
      </w:r>
    </w:p>
    <w:p w14:paraId="396E9696" w14:textId="77777777" w:rsidR="00272848" w:rsidRPr="00272848" w:rsidRDefault="00272848" w:rsidP="00272848">
      <w:pPr>
        <w:spacing w:after="0" w:line="240" w:lineRule="auto"/>
        <w:ind w:left="1276"/>
        <w:rPr>
          <w:rFonts w:ascii="Arial" w:eastAsia="Calibri" w:hAnsi="Arial" w:cs="Arial"/>
          <w:b/>
          <w:bCs/>
          <w:sz w:val="24"/>
          <w:szCs w:val="24"/>
        </w:rPr>
      </w:pPr>
      <w:r w:rsidRPr="00272848">
        <w:rPr>
          <w:rFonts w:ascii="Arial" w:eastAsia="Calibri" w:hAnsi="Arial" w:cs="Arial"/>
          <w:b/>
          <w:bCs/>
          <w:sz w:val="24"/>
          <w:szCs w:val="24"/>
        </w:rPr>
        <w:t>(a) the application for variation is neither decided nor withdrawn,</w:t>
      </w:r>
    </w:p>
    <w:p w14:paraId="6293C43E" w14:textId="77777777" w:rsidR="00272848" w:rsidRPr="00272848" w:rsidRDefault="00272848" w:rsidP="00272848">
      <w:pPr>
        <w:spacing w:after="0" w:line="240" w:lineRule="auto"/>
        <w:ind w:left="1276"/>
        <w:rPr>
          <w:rFonts w:ascii="Arial" w:eastAsia="Calibri" w:hAnsi="Arial" w:cs="Arial"/>
          <w:sz w:val="24"/>
          <w:szCs w:val="24"/>
        </w:rPr>
      </w:pPr>
      <w:r w:rsidRPr="00272848">
        <w:rPr>
          <w:rFonts w:ascii="Arial" w:eastAsia="Calibri" w:hAnsi="Arial" w:cs="Arial"/>
          <w:sz w:val="24"/>
          <w:szCs w:val="24"/>
        </w:rPr>
        <w:t>(b) an appeal under section 82(1) of the Nationality, Asylum and Immigration Act 2002 could be brought [ while the appellant is in the United Kingdom] against the decision on the application for variation (ignoring any possibility of an appeal out of time with permission), or</w:t>
      </w:r>
    </w:p>
    <w:p w14:paraId="59DC70DD" w14:textId="77777777" w:rsidR="00272848" w:rsidRPr="00272848" w:rsidRDefault="00272848" w:rsidP="00272848">
      <w:pPr>
        <w:spacing w:after="0" w:line="240" w:lineRule="auto"/>
        <w:ind w:left="1276"/>
        <w:rPr>
          <w:rFonts w:ascii="Arial" w:eastAsia="Calibri" w:hAnsi="Arial" w:cs="Arial"/>
          <w:sz w:val="24"/>
          <w:szCs w:val="24"/>
        </w:rPr>
      </w:pPr>
      <w:r w:rsidRPr="00272848">
        <w:rPr>
          <w:rFonts w:ascii="Arial" w:eastAsia="Calibri" w:hAnsi="Arial" w:cs="Arial"/>
          <w:sz w:val="24"/>
          <w:szCs w:val="24"/>
        </w:rPr>
        <w:t>(c) an appeal under that section against that decision, brought while the appellant is in the United Kingdom, is pending (within the meaning of section 104 of that Act).</w:t>
      </w:r>
    </w:p>
    <w:p w14:paraId="29986277" w14:textId="707AAB3B" w:rsidR="00272848" w:rsidRPr="002632BB" w:rsidRDefault="002632BB" w:rsidP="00272848">
      <w:pPr>
        <w:pStyle w:val="NormalWeb"/>
        <w:numPr>
          <w:ilvl w:val="0"/>
          <w:numId w:val="2"/>
        </w:numPr>
        <w:tabs>
          <w:tab w:val="left" w:pos="851"/>
          <w:tab w:val="left" w:pos="9923"/>
        </w:tabs>
        <w:spacing w:after="0" w:afterAutospacing="0"/>
        <w:ind w:right="271"/>
        <w:rPr>
          <w:rFonts w:ascii="Arial" w:hAnsi="Arial" w:cs="Arial"/>
          <w:b/>
          <w:bCs/>
        </w:rPr>
      </w:pPr>
      <w:r>
        <w:rPr>
          <w:rFonts w:ascii="Arial" w:hAnsi="Arial" w:cs="Arial"/>
        </w:rPr>
        <w:t xml:space="preserve">The Respondent on the other hand inevitably refuses to extend Mr </w:t>
      </w:r>
      <w:r w:rsidR="00E3398E">
        <w:rPr>
          <w:rFonts w:ascii="Arial" w:hAnsi="Arial" w:cs="Arial"/>
        </w:rPr>
        <w:t>X</w:t>
      </w:r>
      <w:r>
        <w:rPr>
          <w:rFonts w:ascii="Arial" w:hAnsi="Arial" w:cs="Arial"/>
        </w:rPr>
        <w:t xml:space="preserve">’s PIP award pending the variation decision, regardless of whether Mr </w:t>
      </w:r>
      <w:r w:rsidR="00E3398E">
        <w:rPr>
          <w:rFonts w:ascii="Arial" w:hAnsi="Arial" w:cs="Arial"/>
        </w:rPr>
        <w:t>X</w:t>
      </w:r>
      <w:r>
        <w:rPr>
          <w:rFonts w:ascii="Arial" w:hAnsi="Arial" w:cs="Arial"/>
        </w:rPr>
        <w:t xml:space="preserve"> has submitted a new claim.  This means that the award is not reinstated until some time after the variation decision even though Mr </w:t>
      </w:r>
      <w:r w:rsidR="00E3398E">
        <w:rPr>
          <w:rFonts w:ascii="Arial" w:hAnsi="Arial" w:cs="Arial"/>
        </w:rPr>
        <w:t>X</w:t>
      </w:r>
      <w:r>
        <w:rPr>
          <w:rFonts w:ascii="Arial" w:hAnsi="Arial" w:cs="Arial"/>
        </w:rPr>
        <w:t xml:space="preserve"> has ongoing leave to remain under S3C of the 1971 Immigration Act. </w:t>
      </w:r>
      <w:r w:rsidRPr="002632BB">
        <w:rPr>
          <w:rFonts w:ascii="Arial" w:hAnsi="Arial" w:cs="Arial"/>
          <w:b/>
          <w:bCs/>
        </w:rPr>
        <w:t xml:space="preserve">It goes without saying that Mr </w:t>
      </w:r>
      <w:r w:rsidR="00E3398E">
        <w:rPr>
          <w:rFonts w:ascii="Arial" w:hAnsi="Arial" w:cs="Arial"/>
          <w:b/>
          <w:bCs/>
        </w:rPr>
        <w:t>X</w:t>
      </w:r>
      <w:r w:rsidRPr="002632BB">
        <w:rPr>
          <w:rFonts w:ascii="Arial" w:hAnsi="Arial" w:cs="Arial"/>
          <w:b/>
          <w:bCs/>
        </w:rPr>
        <w:t xml:space="preserve"> and his wife experience significant hardship every time his PIP comes up for renewal and that this arises solely because of the Respondent’s intransigence and his refusal to recognise the provisions of </w:t>
      </w:r>
      <w:proofErr w:type="gramStart"/>
      <w:r w:rsidRPr="002632BB">
        <w:rPr>
          <w:rFonts w:ascii="Arial" w:hAnsi="Arial" w:cs="Arial"/>
          <w:b/>
          <w:bCs/>
        </w:rPr>
        <w:t>S3C</w:t>
      </w:r>
      <w:proofErr w:type="gramEnd"/>
    </w:p>
    <w:p w14:paraId="1A718B4A" w14:textId="77777777" w:rsidR="002632BB" w:rsidRDefault="002632BB" w:rsidP="002632BB">
      <w:pPr>
        <w:pStyle w:val="NormalWeb"/>
        <w:tabs>
          <w:tab w:val="left" w:pos="851"/>
          <w:tab w:val="left" w:pos="9923"/>
        </w:tabs>
        <w:spacing w:after="0" w:afterAutospacing="0"/>
        <w:ind w:left="720" w:right="271"/>
        <w:rPr>
          <w:rFonts w:ascii="Arial" w:hAnsi="Arial" w:cs="Arial"/>
        </w:rPr>
      </w:pPr>
    </w:p>
    <w:p w14:paraId="5C1FA56D" w14:textId="248DC88C" w:rsidR="002632BB" w:rsidRDefault="002116C6" w:rsidP="00272848">
      <w:pPr>
        <w:pStyle w:val="NormalWeb"/>
        <w:numPr>
          <w:ilvl w:val="0"/>
          <w:numId w:val="2"/>
        </w:numPr>
        <w:tabs>
          <w:tab w:val="left" w:pos="851"/>
          <w:tab w:val="left" w:pos="9923"/>
        </w:tabs>
        <w:spacing w:after="0" w:afterAutospacing="0"/>
        <w:ind w:right="271"/>
        <w:rPr>
          <w:rFonts w:ascii="Arial" w:hAnsi="Arial" w:cs="Arial"/>
        </w:rPr>
      </w:pPr>
      <w:r>
        <w:rPr>
          <w:rFonts w:ascii="Arial" w:hAnsi="Arial" w:cs="Arial"/>
        </w:rPr>
        <w:t xml:space="preserve">The Respondent has not included a copy of any notice that was issued to Mr </w:t>
      </w:r>
      <w:r w:rsidR="00E3398E">
        <w:rPr>
          <w:rFonts w:ascii="Arial" w:hAnsi="Arial" w:cs="Arial"/>
        </w:rPr>
        <w:t>X</w:t>
      </w:r>
      <w:r>
        <w:rPr>
          <w:rFonts w:ascii="Arial" w:hAnsi="Arial" w:cs="Arial"/>
        </w:rPr>
        <w:t xml:space="preserve"> to inform him that his award was now time limited.  The notice dated 10/08/2021 (</w:t>
      </w:r>
      <w:r w:rsidRPr="002116C6">
        <w:rPr>
          <w:rFonts w:ascii="Arial" w:hAnsi="Arial" w:cs="Arial"/>
          <w:b/>
          <w:bCs/>
        </w:rPr>
        <w:t>p110 of the bundle</w:t>
      </w:r>
      <w:r>
        <w:rPr>
          <w:rFonts w:ascii="Arial" w:hAnsi="Arial" w:cs="Arial"/>
        </w:rPr>
        <w:t xml:space="preserve">) is merely a statement of entitlement and does not include an end date.  The subsequent so-called reminder notice issued on 07/01/2022 </w:t>
      </w:r>
      <w:r w:rsidRPr="002116C6">
        <w:rPr>
          <w:rFonts w:ascii="Arial" w:hAnsi="Arial" w:cs="Arial"/>
          <w:b/>
          <w:bCs/>
        </w:rPr>
        <w:t>(p113 of the bundle</w:t>
      </w:r>
      <w:r>
        <w:rPr>
          <w:rFonts w:ascii="Arial" w:hAnsi="Arial" w:cs="Arial"/>
        </w:rPr>
        <w:t xml:space="preserve">) does have an end date </w:t>
      </w:r>
      <w:r w:rsidR="002703BD">
        <w:rPr>
          <w:rFonts w:ascii="Arial" w:hAnsi="Arial" w:cs="Arial"/>
        </w:rPr>
        <w:t>(07/07/2022) but there seems to be no record of any notification of the actual replacement of the indefinite award as notified on 26/10/2018.</w:t>
      </w:r>
    </w:p>
    <w:p w14:paraId="7B214552" w14:textId="77777777" w:rsidR="002703BD" w:rsidRDefault="002703BD" w:rsidP="002703BD">
      <w:pPr>
        <w:pStyle w:val="ListParagraph"/>
        <w:rPr>
          <w:rFonts w:ascii="Arial" w:hAnsi="Arial" w:cs="Arial"/>
        </w:rPr>
      </w:pPr>
    </w:p>
    <w:p w14:paraId="4B8652BF" w14:textId="39D4AC9A" w:rsidR="002703BD" w:rsidRDefault="002703BD" w:rsidP="00272848">
      <w:pPr>
        <w:pStyle w:val="NormalWeb"/>
        <w:numPr>
          <w:ilvl w:val="0"/>
          <w:numId w:val="2"/>
        </w:numPr>
        <w:tabs>
          <w:tab w:val="left" w:pos="851"/>
          <w:tab w:val="left" w:pos="9923"/>
        </w:tabs>
        <w:spacing w:after="0" w:afterAutospacing="0"/>
        <w:ind w:right="271"/>
        <w:rPr>
          <w:rFonts w:ascii="Arial" w:hAnsi="Arial" w:cs="Arial"/>
        </w:rPr>
      </w:pPr>
      <w:r>
        <w:rPr>
          <w:rFonts w:ascii="Arial" w:hAnsi="Arial" w:cs="Arial"/>
        </w:rPr>
        <w:t xml:space="preserve">This raises some procedural matters because it seems that the date of the actual disputed decision is not known (although the clock as </w:t>
      </w:r>
      <w:proofErr w:type="gramStart"/>
      <w:r>
        <w:rPr>
          <w:rFonts w:ascii="Arial" w:hAnsi="Arial" w:cs="Arial"/>
        </w:rPr>
        <w:t>regards  time</w:t>
      </w:r>
      <w:proofErr w:type="gramEnd"/>
      <w:r>
        <w:rPr>
          <w:rFonts w:ascii="Arial" w:hAnsi="Arial" w:cs="Arial"/>
        </w:rPr>
        <w:t xml:space="preserve"> limits for appeal will not have started given that the decision has not been notified and it is consequently inchoate)</w:t>
      </w:r>
    </w:p>
    <w:p w14:paraId="6AD11162" w14:textId="77777777" w:rsidR="002703BD" w:rsidRDefault="002703BD" w:rsidP="002703BD">
      <w:pPr>
        <w:pStyle w:val="ListParagraph"/>
        <w:rPr>
          <w:rFonts w:ascii="Arial" w:hAnsi="Arial" w:cs="Arial"/>
        </w:rPr>
      </w:pPr>
    </w:p>
    <w:p w14:paraId="0D2BF7E0" w14:textId="62A2E8C9" w:rsidR="002703BD" w:rsidRDefault="002703BD" w:rsidP="00272848">
      <w:pPr>
        <w:pStyle w:val="NormalWeb"/>
        <w:numPr>
          <w:ilvl w:val="0"/>
          <w:numId w:val="2"/>
        </w:numPr>
        <w:tabs>
          <w:tab w:val="left" w:pos="851"/>
          <w:tab w:val="left" w:pos="9923"/>
        </w:tabs>
        <w:spacing w:after="0" w:afterAutospacing="0"/>
        <w:ind w:right="271"/>
        <w:rPr>
          <w:rFonts w:ascii="Arial" w:hAnsi="Arial" w:cs="Arial"/>
        </w:rPr>
      </w:pPr>
      <w:r>
        <w:rPr>
          <w:rFonts w:ascii="Arial" w:hAnsi="Arial" w:cs="Arial"/>
        </w:rPr>
        <w:lastRenderedPageBreak/>
        <w:t>A decision is final unless and until it is revised or superseded, and the decision in the present case appears to a supersession rather than a revision given that the effective date is after 26/10/2018 and there have been several uprating decisions after that time which otherwise remain effective.</w:t>
      </w:r>
    </w:p>
    <w:p w14:paraId="189E11FF" w14:textId="77777777" w:rsidR="004C3BC7" w:rsidRDefault="004C3BC7" w:rsidP="004C3BC7">
      <w:pPr>
        <w:pStyle w:val="ListParagraph"/>
        <w:rPr>
          <w:rFonts w:ascii="Arial" w:hAnsi="Arial" w:cs="Arial"/>
        </w:rPr>
      </w:pPr>
    </w:p>
    <w:p w14:paraId="6B14D0E0" w14:textId="13625686" w:rsidR="004C3BC7" w:rsidRDefault="004C3BC7" w:rsidP="00272848">
      <w:pPr>
        <w:pStyle w:val="NormalWeb"/>
        <w:numPr>
          <w:ilvl w:val="0"/>
          <w:numId w:val="2"/>
        </w:numPr>
        <w:tabs>
          <w:tab w:val="left" w:pos="851"/>
          <w:tab w:val="left" w:pos="9923"/>
        </w:tabs>
        <w:spacing w:after="0" w:afterAutospacing="0"/>
        <w:ind w:right="271"/>
        <w:rPr>
          <w:rFonts w:ascii="Arial" w:hAnsi="Arial" w:cs="Arial"/>
        </w:rPr>
      </w:pPr>
      <w:r>
        <w:rPr>
          <w:rFonts w:ascii="Arial" w:hAnsi="Arial" w:cs="Arial"/>
        </w:rPr>
        <w:t xml:space="preserve">Regulation 23 of the Universal Credit (etc) Decisions and Appeal Regulations 2013 m provides that a decision can be superseded where there has been a relevant change of circumstances </w:t>
      </w:r>
      <w:r w:rsidR="00BD2932">
        <w:rPr>
          <w:rFonts w:ascii="Arial" w:hAnsi="Arial" w:cs="Arial"/>
        </w:rPr>
        <w:t xml:space="preserve"> (</w:t>
      </w:r>
      <w:r w:rsidR="00BD2932" w:rsidRPr="00316100">
        <w:rPr>
          <w:rFonts w:ascii="Arial" w:hAnsi="Arial" w:cs="Arial"/>
        </w:rPr>
        <w:t xml:space="preserve">or (Reg 23(1)b where it is expected that a change will occur) </w:t>
      </w:r>
      <w:r>
        <w:rPr>
          <w:rFonts w:ascii="Arial" w:hAnsi="Arial" w:cs="Arial"/>
        </w:rPr>
        <w:t xml:space="preserve">but I submit that in the circumstances of the present case there has been no such change because Mr </w:t>
      </w:r>
      <w:r w:rsidR="00E3398E">
        <w:rPr>
          <w:rFonts w:ascii="Arial" w:hAnsi="Arial" w:cs="Arial"/>
        </w:rPr>
        <w:t>X</w:t>
      </w:r>
      <w:r>
        <w:rPr>
          <w:rFonts w:ascii="Arial" w:hAnsi="Arial" w:cs="Arial"/>
        </w:rPr>
        <w:t xml:space="preserve"> has at all relevant times either been granted leave to remain by the Immigration Authorities or that leave had been extended under S3C of the 1971 Immigration Act.</w:t>
      </w:r>
    </w:p>
    <w:p w14:paraId="48F1522A" w14:textId="77777777" w:rsidR="004C3BC7" w:rsidRDefault="004C3BC7" w:rsidP="004C3BC7">
      <w:pPr>
        <w:pStyle w:val="ListParagraph"/>
        <w:rPr>
          <w:rFonts w:ascii="Arial" w:hAnsi="Arial" w:cs="Arial"/>
        </w:rPr>
      </w:pPr>
    </w:p>
    <w:p w14:paraId="7713AD6E" w14:textId="56C2BE5A" w:rsidR="004C3BC7" w:rsidRDefault="004C3BC7" w:rsidP="00272848">
      <w:pPr>
        <w:pStyle w:val="NormalWeb"/>
        <w:numPr>
          <w:ilvl w:val="0"/>
          <w:numId w:val="2"/>
        </w:numPr>
        <w:tabs>
          <w:tab w:val="left" w:pos="851"/>
          <w:tab w:val="left" w:pos="9923"/>
        </w:tabs>
        <w:spacing w:after="0" w:afterAutospacing="0"/>
        <w:ind w:right="271"/>
        <w:rPr>
          <w:rFonts w:ascii="Arial" w:hAnsi="Arial" w:cs="Arial"/>
        </w:rPr>
      </w:pPr>
      <w:r>
        <w:rPr>
          <w:rFonts w:ascii="Arial" w:hAnsi="Arial" w:cs="Arial"/>
        </w:rPr>
        <w:t xml:space="preserve">The Respondent </w:t>
      </w:r>
      <w:r w:rsidR="001F7BF6">
        <w:rPr>
          <w:rFonts w:ascii="Arial" w:hAnsi="Arial" w:cs="Arial"/>
        </w:rPr>
        <w:t xml:space="preserve">avers </w:t>
      </w:r>
      <w:r w:rsidR="001F7BF6" w:rsidRPr="001F7BF6">
        <w:rPr>
          <w:rFonts w:ascii="Arial" w:hAnsi="Arial" w:cs="Arial"/>
          <w:b/>
          <w:bCs/>
        </w:rPr>
        <w:t>(S4(2) page D</w:t>
      </w:r>
      <w:r w:rsidR="001F7BF6">
        <w:rPr>
          <w:rFonts w:ascii="Arial" w:hAnsi="Arial" w:cs="Arial"/>
        </w:rPr>
        <w:t>)</w:t>
      </w:r>
    </w:p>
    <w:p w14:paraId="11B1BFFF" w14:textId="77777777" w:rsidR="001F7BF6" w:rsidRDefault="001F7BF6" w:rsidP="001F7BF6">
      <w:pPr>
        <w:pStyle w:val="ListParagraph"/>
        <w:rPr>
          <w:rFonts w:ascii="Arial" w:hAnsi="Arial" w:cs="Arial"/>
        </w:rPr>
      </w:pPr>
    </w:p>
    <w:p w14:paraId="7BF50861" w14:textId="4E5C49D8" w:rsidR="001F7BF6" w:rsidRDefault="001F7BF6" w:rsidP="001F7BF6">
      <w:pPr>
        <w:pStyle w:val="NormalWeb"/>
        <w:tabs>
          <w:tab w:val="left" w:pos="851"/>
          <w:tab w:val="left" w:pos="9923"/>
        </w:tabs>
        <w:spacing w:after="0" w:afterAutospacing="0"/>
        <w:ind w:left="1560" w:right="271"/>
        <w:rPr>
          <w:rFonts w:ascii="Arial" w:hAnsi="Arial" w:cs="Arial"/>
        </w:rPr>
      </w:pPr>
      <w:r>
        <w:rPr>
          <w:rFonts w:ascii="Arial" w:hAnsi="Arial" w:cs="Arial"/>
        </w:rPr>
        <w:t xml:space="preserve">Having noted all the evidence </w:t>
      </w:r>
      <w:proofErr w:type="gramStart"/>
      <w:r>
        <w:rPr>
          <w:rFonts w:ascii="Arial" w:hAnsi="Arial" w:cs="Arial"/>
        </w:rPr>
        <w:t>it is clear that the</w:t>
      </w:r>
      <w:proofErr w:type="gramEnd"/>
      <w:r>
        <w:rPr>
          <w:rFonts w:ascii="Arial" w:hAnsi="Arial" w:cs="Arial"/>
        </w:rPr>
        <w:t xml:space="preserve"> decision dated 26/10/2018 erred in regard to awarding an indefinite award given that Mr </w:t>
      </w:r>
      <w:r w:rsidR="00E3398E">
        <w:rPr>
          <w:rFonts w:ascii="Arial" w:hAnsi="Arial" w:cs="Arial"/>
        </w:rPr>
        <w:t>X</w:t>
      </w:r>
      <w:r>
        <w:rPr>
          <w:rFonts w:ascii="Arial" w:hAnsi="Arial" w:cs="Arial"/>
        </w:rPr>
        <w:t xml:space="preserve"> did not have leave to remain on a permanent basis.</w:t>
      </w:r>
    </w:p>
    <w:p w14:paraId="2B183FA5" w14:textId="77777777" w:rsidR="001F7BF6" w:rsidRDefault="001F7BF6" w:rsidP="001F7BF6">
      <w:pPr>
        <w:pStyle w:val="NormalWeb"/>
        <w:tabs>
          <w:tab w:val="left" w:pos="851"/>
          <w:tab w:val="left" w:pos="9923"/>
        </w:tabs>
        <w:spacing w:after="0" w:afterAutospacing="0"/>
        <w:ind w:right="271"/>
        <w:rPr>
          <w:rFonts w:ascii="Arial" w:hAnsi="Arial" w:cs="Arial"/>
        </w:rPr>
      </w:pPr>
    </w:p>
    <w:p w14:paraId="0DBF9AA1" w14:textId="4E366822" w:rsidR="001F7BF6" w:rsidRPr="00A45811" w:rsidRDefault="001F7BF6" w:rsidP="001F7BF6">
      <w:pPr>
        <w:pStyle w:val="ListParagraph"/>
        <w:rPr>
          <w:rFonts w:ascii="Arial" w:hAnsi="Arial" w:cs="Arial"/>
          <w:sz w:val="24"/>
          <w:szCs w:val="24"/>
        </w:rPr>
      </w:pPr>
      <w:r w:rsidRPr="00A45811">
        <w:rPr>
          <w:rFonts w:ascii="Arial" w:hAnsi="Arial" w:cs="Arial"/>
          <w:sz w:val="24"/>
          <w:szCs w:val="24"/>
        </w:rPr>
        <w:t xml:space="preserve">17.1 I read the above as suggesting that the ground for supersession was an error of law and that the Respondent was aware at the time of the decision to make an indefinite award that Mr </w:t>
      </w:r>
      <w:r w:rsidR="00E3398E">
        <w:rPr>
          <w:rFonts w:ascii="Arial" w:hAnsi="Arial" w:cs="Arial"/>
          <w:sz w:val="24"/>
          <w:szCs w:val="24"/>
        </w:rPr>
        <w:t>X</w:t>
      </w:r>
      <w:r w:rsidR="00A45811" w:rsidRPr="00A45811">
        <w:rPr>
          <w:rFonts w:ascii="Arial" w:hAnsi="Arial" w:cs="Arial"/>
          <w:sz w:val="24"/>
          <w:szCs w:val="24"/>
        </w:rPr>
        <w:t>’s</w:t>
      </w:r>
      <w:r w:rsidRPr="00A45811">
        <w:rPr>
          <w:rFonts w:ascii="Arial" w:hAnsi="Arial" w:cs="Arial"/>
          <w:sz w:val="24"/>
          <w:szCs w:val="24"/>
        </w:rPr>
        <w:t xml:space="preserve"> leave to remain was time limited.</w:t>
      </w:r>
    </w:p>
    <w:p w14:paraId="03E9C96B" w14:textId="77777777" w:rsidR="001F7BF6" w:rsidRPr="00A45811" w:rsidRDefault="001F7BF6" w:rsidP="001F7BF6">
      <w:pPr>
        <w:pStyle w:val="ListParagraph"/>
        <w:rPr>
          <w:rFonts w:ascii="Arial" w:hAnsi="Arial" w:cs="Arial"/>
          <w:sz w:val="24"/>
          <w:szCs w:val="24"/>
        </w:rPr>
      </w:pPr>
    </w:p>
    <w:p w14:paraId="5ADF2B15" w14:textId="55C635EC" w:rsidR="001F7BF6" w:rsidRPr="00A45811" w:rsidRDefault="001F7BF6" w:rsidP="00A45811">
      <w:pPr>
        <w:pStyle w:val="ListParagraph"/>
        <w:numPr>
          <w:ilvl w:val="1"/>
          <w:numId w:val="21"/>
        </w:numPr>
        <w:rPr>
          <w:rFonts w:ascii="Arial" w:hAnsi="Arial" w:cs="Arial"/>
          <w:sz w:val="24"/>
          <w:szCs w:val="24"/>
        </w:rPr>
      </w:pPr>
      <w:r w:rsidRPr="00A45811">
        <w:rPr>
          <w:rFonts w:ascii="Arial" w:hAnsi="Arial" w:cs="Arial"/>
          <w:sz w:val="24"/>
          <w:szCs w:val="24"/>
        </w:rPr>
        <w:t xml:space="preserve">The alternative ground would have been mistake as to a material fact </w:t>
      </w:r>
      <w:r w:rsidR="00A45811" w:rsidRPr="00A45811">
        <w:rPr>
          <w:rFonts w:ascii="Arial" w:hAnsi="Arial" w:cs="Arial"/>
          <w:sz w:val="24"/>
          <w:szCs w:val="24"/>
        </w:rPr>
        <w:t xml:space="preserve">and I make the following observations for </w:t>
      </w:r>
      <w:r w:rsidR="00A45811">
        <w:rPr>
          <w:rFonts w:ascii="Arial" w:hAnsi="Arial" w:cs="Arial"/>
          <w:sz w:val="24"/>
          <w:szCs w:val="24"/>
        </w:rPr>
        <w:t xml:space="preserve">avoidance of </w:t>
      </w:r>
      <w:proofErr w:type="gramStart"/>
      <w:r w:rsidR="00A45811">
        <w:rPr>
          <w:rFonts w:ascii="Arial" w:hAnsi="Arial" w:cs="Arial"/>
          <w:sz w:val="24"/>
          <w:szCs w:val="24"/>
        </w:rPr>
        <w:t>doubt</w:t>
      </w:r>
      <w:proofErr w:type="gramEnd"/>
    </w:p>
    <w:p w14:paraId="31C913F4" w14:textId="77777777" w:rsidR="00A45811" w:rsidRDefault="00A45811" w:rsidP="001F7BF6">
      <w:pPr>
        <w:pStyle w:val="ListParagraph"/>
        <w:rPr>
          <w:rFonts w:ascii="Arial" w:hAnsi="Arial" w:cs="Arial"/>
        </w:rPr>
      </w:pPr>
    </w:p>
    <w:p w14:paraId="67B5288D" w14:textId="5F74F368" w:rsidR="00A45811" w:rsidRPr="00A45811" w:rsidRDefault="00A45811" w:rsidP="00A45811">
      <w:pPr>
        <w:spacing w:after="0" w:line="240" w:lineRule="auto"/>
        <w:ind w:left="720"/>
        <w:rPr>
          <w:rFonts w:ascii="Arial" w:eastAsia="Times New Roman" w:hAnsi="Arial" w:cs="Arial"/>
          <w:sz w:val="24"/>
          <w:szCs w:val="20"/>
        </w:rPr>
      </w:pPr>
      <w:r>
        <w:rPr>
          <w:rFonts w:ascii="Arial" w:eastAsia="Times New Roman" w:hAnsi="Arial" w:cs="Arial"/>
          <w:sz w:val="24"/>
          <w:szCs w:val="20"/>
        </w:rPr>
        <w:t xml:space="preserve">17.3 </w:t>
      </w:r>
      <w:r w:rsidRPr="00A45811">
        <w:rPr>
          <w:rFonts w:ascii="Arial" w:eastAsia="Times New Roman" w:hAnsi="Arial" w:cs="Arial"/>
          <w:sz w:val="24"/>
          <w:szCs w:val="20"/>
        </w:rPr>
        <w:t xml:space="preserve">I am reminded that in the context of </w:t>
      </w:r>
      <w:r w:rsidR="007B532F" w:rsidRPr="00A45811">
        <w:rPr>
          <w:rFonts w:ascii="Arial" w:eastAsia="Times New Roman" w:hAnsi="Arial" w:cs="Arial"/>
          <w:sz w:val="24"/>
          <w:szCs w:val="20"/>
        </w:rPr>
        <w:t>revision</w:t>
      </w:r>
      <w:r w:rsidRPr="00A45811">
        <w:rPr>
          <w:rFonts w:ascii="Arial" w:eastAsia="Times New Roman" w:hAnsi="Arial" w:cs="Arial"/>
          <w:sz w:val="24"/>
          <w:szCs w:val="20"/>
        </w:rPr>
        <w:t xml:space="preserve"> and supersession,  a material fact is a primary fact as opposed to a secondary fact which is a conclusion deduced or inferred from a primary fact thus a difference of opinion as to conclusions to be drawn from a primary fact cannot be grounds for revision (or for that matter supersession) (see R(S)4/86, RH v Secretary of State for Work and Pensions (DLA) [2015] UKUT 0453 (AAC))</w:t>
      </w:r>
    </w:p>
    <w:p w14:paraId="2BE1A0BC" w14:textId="77777777" w:rsidR="00A45811" w:rsidRPr="00A45811" w:rsidRDefault="00A45811" w:rsidP="00A45811">
      <w:pPr>
        <w:spacing w:after="0" w:line="240" w:lineRule="auto"/>
        <w:ind w:left="720"/>
        <w:rPr>
          <w:rFonts w:ascii="Arial" w:eastAsia="Times New Roman" w:hAnsi="Arial" w:cs="Arial"/>
          <w:sz w:val="24"/>
          <w:szCs w:val="20"/>
        </w:rPr>
      </w:pPr>
    </w:p>
    <w:p w14:paraId="09E01B46" w14:textId="45698275" w:rsidR="00A45811" w:rsidRPr="00A45811" w:rsidRDefault="00A45811" w:rsidP="00A45811">
      <w:pPr>
        <w:pStyle w:val="ListParagraph"/>
        <w:numPr>
          <w:ilvl w:val="1"/>
          <w:numId w:val="22"/>
        </w:numPr>
        <w:spacing w:after="0" w:line="240" w:lineRule="auto"/>
        <w:ind w:right="697"/>
        <w:rPr>
          <w:rFonts w:ascii="Arial" w:eastAsia="Times New Roman" w:hAnsi="Arial" w:cs="Arial"/>
          <w:sz w:val="24"/>
          <w:szCs w:val="20"/>
        </w:rPr>
      </w:pPr>
      <w:r w:rsidRPr="00A45811">
        <w:rPr>
          <w:rFonts w:ascii="Arial" w:eastAsia="Times New Roman" w:hAnsi="Arial" w:cs="Arial"/>
          <w:sz w:val="24"/>
          <w:szCs w:val="20"/>
        </w:rPr>
        <w:t>I will add for completeness that if the Respondent is</w:t>
      </w:r>
      <w:r w:rsidR="007B532F">
        <w:rPr>
          <w:rFonts w:ascii="Arial" w:eastAsia="Times New Roman" w:hAnsi="Arial" w:cs="Arial"/>
          <w:sz w:val="24"/>
          <w:szCs w:val="20"/>
        </w:rPr>
        <w:t xml:space="preserve"> in any </w:t>
      </w:r>
      <w:proofErr w:type="gramStart"/>
      <w:r w:rsidR="007B532F">
        <w:rPr>
          <w:rFonts w:ascii="Arial" w:eastAsia="Times New Roman" w:hAnsi="Arial" w:cs="Arial"/>
          <w:sz w:val="24"/>
          <w:szCs w:val="20"/>
        </w:rPr>
        <w:t xml:space="preserve">way </w:t>
      </w:r>
      <w:r w:rsidRPr="00A45811">
        <w:rPr>
          <w:rFonts w:ascii="Arial" w:eastAsia="Times New Roman" w:hAnsi="Arial" w:cs="Arial"/>
          <w:sz w:val="24"/>
          <w:szCs w:val="20"/>
        </w:rPr>
        <w:t xml:space="preserve"> implying</w:t>
      </w:r>
      <w:proofErr w:type="gramEnd"/>
      <w:r w:rsidRPr="00A45811">
        <w:rPr>
          <w:rFonts w:ascii="Arial" w:eastAsia="Times New Roman" w:hAnsi="Arial" w:cs="Arial"/>
          <w:sz w:val="24"/>
          <w:szCs w:val="20"/>
        </w:rPr>
        <w:t xml:space="preserve"> that the </w:t>
      </w:r>
      <w:r>
        <w:rPr>
          <w:rFonts w:ascii="Arial" w:eastAsia="Times New Roman" w:hAnsi="Arial" w:cs="Arial"/>
          <w:sz w:val="24"/>
          <w:szCs w:val="20"/>
        </w:rPr>
        <w:t>Habitual Residence Test (</w:t>
      </w:r>
      <w:r w:rsidRPr="00A45811">
        <w:rPr>
          <w:rFonts w:ascii="Arial" w:eastAsia="Times New Roman" w:hAnsi="Arial" w:cs="Arial"/>
          <w:sz w:val="24"/>
          <w:szCs w:val="20"/>
        </w:rPr>
        <w:t>HRT</w:t>
      </w:r>
      <w:r>
        <w:rPr>
          <w:rFonts w:ascii="Arial" w:eastAsia="Times New Roman" w:hAnsi="Arial" w:cs="Arial"/>
          <w:sz w:val="24"/>
          <w:szCs w:val="20"/>
        </w:rPr>
        <w:t xml:space="preserve">) </w:t>
      </w:r>
      <w:r w:rsidR="007B532F">
        <w:rPr>
          <w:rFonts w:ascii="Arial" w:eastAsia="Times New Roman" w:hAnsi="Arial" w:cs="Arial"/>
          <w:sz w:val="24"/>
          <w:szCs w:val="20"/>
        </w:rPr>
        <w:t xml:space="preserve"> (carried out when Mr </w:t>
      </w:r>
      <w:r w:rsidR="00E3398E">
        <w:rPr>
          <w:rFonts w:ascii="Arial" w:eastAsia="Times New Roman" w:hAnsi="Arial" w:cs="Arial"/>
          <w:sz w:val="24"/>
          <w:szCs w:val="20"/>
        </w:rPr>
        <w:t>X</w:t>
      </w:r>
      <w:r w:rsidR="007B532F">
        <w:rPr>
          <w:rFonts w:ascii="Arial" w:eastAsia="Times New Roman" w:hAnsi="Arial" w:cs="Arial"/>
          <w:sz w:val="24"/>
          <w:szCs w:val="20"/>
        </w:rPr>
        <w:t xml:space="preserve"> made his claim) </w:t>
      </w:r>
      <w:r w:rsidRPr="00A45811">
        <w:rPr>
          <w:rFonts w:ascii="Arial" w:eastAsia="Times New Roman" w:hAnsi="Arial" w:cs="Arial"/>
          <w:sz w:val="24"/>
          <w:szCs w:val="20"/>
        </w:rPr>
        <w:t xml:space="preserve"> was incomplete and there was  consequently a lack of consideration of the issues, h</w:t>
      </w:r>
      <w:r>
        <w:rPr>
          <w:rFonts w:ascii="Arial" w:eastAsia="Times New Roman" w:hAnsi="Arial" w:cs="Arial"/>
          <w:sz w:val="24"/>
          <w:szCs w:val="20"/>
        </w:rPr>
        <w:t xml:space="preserve">is </w:t>
      </w:r>
      <w:r w:rsidRPr="00A45811">
        <w:rPr>
          <w:rFonts w:ascii="Arial" w:eastAsia="Times New Roman" w:hAnsi="Arial" w:cs="Arial"/>
          <w:sz w:val="24"/>
          <w:szCs w:val="20"/>
        </w:rPr>
        <w:t xml:space="preserve"> position is arguably untenable .  I find support from what Mr Commissioner Mitchell held at paragraph 11 </w:t>
      </w:r>
      <w:proofErr w:type="gramStart"/>
      <w:r w:rsidRPr="00A45811">
        <w:rPr>
          <w:rFonts w:ascii="Arial" w:eastAsia="Times New Roman" w:hAnsi="Arial" w:cs="Arial"/>
          <w:sz w:val="24"/>
          <w:szCs w:val="20"/>
        </w:rPr>
        <w:t>of  R</w:t>
      </w:r>
      <w:proofErr w:type="gramEnd"/>
      <w:r w:rsidRPr="00A45811">
        <w:rPr>
          <w:rFonts w:ascii="Arial" w:eastAsia="Times New Roman" w:hAnsi="Arial" w:cs="Arial"/>
          <w:sz w:val="24"/>
          <w:szCs w:val="20"/>
        </w:rPr>
        <w:t>(SB)4/92 (the emphasis is mine)</w:t>
      </w:r>
    </w:p>
    <w:p w14:paraId="75831123" w14:textId="77777777" w:rsidR="00A45811" w:rsidRPr="00A45811" w:rsidRDefault="00A45811" w:rsidP="00A45811">
      <w:pPr>
        <w:spacing w:after="0" w:line="240" w:lineRule="auto"/>
        <w:ind w:left="720"/>
        <w:rPr>
          <w:rFonts w:ascii="Arial" w:eastAsia="Times New Roman" w:hAnsi="Arial" w:cs="Arial"/>
          <w:sz w:val="24"/>
          <w:szCs w:val="20"/>
        </w:rPr>
      </w:pPr>
    </w:p>
    <w:p w14:paraId="06658800" w14:textId="40355B35" w:rsidR="00A45811" w:rsidRDefault="00A45811" w:rsidP="007B532F">
      <w:pPr>
        <w:pStyle w:val="ListParagraph"/>
        <w:ind w:left="1701" w:right="838"/>
        <w:rPr>
          <w:rFonts w:ascii="Arial" w:hAnsi="Arial" w:cs="Arial"/>
        </w:rPr>
      </w:pPr>
      <w:r w:rsidRPr="00A45811">
        <w:rPr>
          <w:rFonts w:ascii="Arial" w:eastAsia="Times New Roman" w:hAnsi="Arial" w:cs="Arial"/>
          <w:sz w:val="24"/>
          <w:szCs w:val="20"/>
        </w:rPr>
        <w:t xml:space="preserve">An alternative submission is made on behalf of the claimant that the tribunal decision could be reviewed on the ground of mistake as to a material fact “in that they did not give consideration of the [claimant’s] flat as being exceptionally difficult to heat adequately, nor having unsuitable washing/ drying facilities.” It is in my judgment impossible to sustain this alternative submission. </w:t>
      </w:r>
      <w:r w:rsidRPr="00A45811">
        <w:rPr>
          <w:rFonts w:ascii="Arial" w:eastAsia="Times New Roman" w:hAnsi="Arial" w:cs="Arial"/>
          <w:b/>
          <w:bCs/>
          <w:sz w:val="24"/>
          <w:szCs w:val="20"/>
        </w:rPr>
        <w:t xml:space="preserve">Such alleged failures of consideration are not </w:t>
      </w:r>
      <w:r w:rsidRPr="00A45811">
        <w:rPr>
          <w:rFonts w:ascii="Arial" w:eastAsia="Times New Roman" w:hAnsi="Arial" w:cs="Arial"/>
          <w:b/>
          <w:bCs/>
          <w:sz w:val="24"/>
          <w:szCs w:val="20"/>
        </w:rPr>
        <w:lastRenderedPageBreak/>
        <w:t>equivalent to the mistakes of fact</w:t>
      </w:r>
      <w:r w:rsidRPr="00A45811">
        <w:rPr>
          <w:rFonts w:ascii="Arial" w:eastAsia="Times New Roman" w:hAnsi="Arial" w:cs="Arial"/>
          <w:sz w:val="24"/>
          <w:szCs w:val="20"/>
        </w:rPr>
        <w:t>. In any event as regards the first point the tribunal of 20 February 1987 in fact awarded an additional requirement for heating at the higher rate appropriate to that circumstance from the date which, as a matter of fact, they found appropriate. On the second point the tribunal of 15 September 1987 awarded an additional requirement for laundry as claimed by the claimant and backdated it for the then maximum period of one year</w:t>
      </w:r>
    </w:p>
    <w:p w14:paraId="02B2504F" w14:textId="5B2DACE3" w:rsidR="001F7BF6" w:rsidRDefault="007B532F" w:rsidP="007B532F">
      <w:pPr>
        <w:pStyle w:val="NormalWeb"/>
        <w:numPr>
          <w:ilvl w:val="0"/>
          <w:numId w:val="22"/>
        </w:numPr>
        <w:tabs>
          <w:tab w:val="left" w:pos="851"/>
          <w:tab w:val="left" w:pos="9923"/>
        </w:tabs>
        <w:spacing w:after="0" w:afterAutospacing="0"/>
        <w:ind w:left="851" w:right="271"/>
        <w:rPr>
          <w:rFonts w:ascii="Arial" w:hAnsi="Arial" w:cs="Arial"/>
        </w:rPr>
      </w:pPr>
      <w:r>
        <w:rPr>
          <w:rFonts w:ascii="Arial" w:hAnsi="Arial" w:cs="Arial"/>
        </w:rPr>
        <w:t xml:space="preserve">S88 of the Welfare Reform Act 2012 in so far as is relevant </w:t>
      </w:r>
      <w:proofErr w:type="gramStart"/>
      <w:r>
        <w:rPr>
          <w:rFonts w:ascii="Arial" w:hAnsi="Arial" w:cs="Arial"/>
        </w:rPr>
        <w:t>provides</w:t>
      </w:r>
      <w:proofErr w:type="gramEnd"/>
      <w:r>
        <w:rPr>
          <w:rFonts w:ascii="Arial" w:hAnsi="Arial" w:cs="Arial"/>
        </w:rPr>
        <w:t xml:space="preserve"> </w:t>
      </w:r>
    </w:p>
    <w:p w14:paraId="0AF91804" w14:textId="77777777" w:rsidR="007B532F" w:rsidRPr="007B532F" w:rsidRDefault="007B532F" w:rsidP="007B532F">
      <w:pPr>
        <w:pStyle w:val="NormalWeb"/>
        <w:tabs>
          <w:tab w:val="left" w:pos="1701"/>
          <w:tab w:val="left" w:pos="9923"/>
        </w:tabs>
        <w:spacing w:after="0"/>
        <w:ind w:left="1701" w:right="271"/>
        <w:jc w:val="center"/>
        <w:rPr>
          <w:rFonts w:ascii="Arial" w:hAnsi="Arial" w:cs="Arial"/>
        </w:rPr>
      </w:pPr>
      <w:r w:rsidRPr="007B532F">
        <w:rPr>
          <w:rFonts w:ascii="Arial" w:hAnsi="Arial" w:cs="Arial"/>
        </w:rPr>
        <w:t>Supplementary</w:t>
      </w:r>
    </w:p>
    <w:p w14:paraId="111AF6FF" w14:textId="77777777" w:rsidR="007B532F" w:rsidRPr="007B532F" w:rsidRDefault="007B532F" w:rsidP="006E25B6">
      <w:pPr>
        <w:pStyle w:val="NormalWeb"/>
        <w:tabs>
          <w:tab w:val="left" w:pos="1701"/>
          <w:tab w:val="left" w:pos="9923"/>
        </w:tabs>
        <w:spacing w:after="0"/>
        <w:ind w:left="1701" w:right="555"/>
        <w:rPr>
          <w:rFonts w:ascii="Arial" w:hAnsi="Arial" w:cs="Arial"/>
        </w:rPr>
      </w:pPr>
      <w:r w:rsidRPr="007B532F">
        <w:rPr>
          <w:rFonts w:ascii="Arial" w:hAnsi="Arial" w:cs="Arial"/>
        </w:rPr>
        <w:t>88</w:t>
      </w:r>
    </w:p>
    <w:p w14:paraId="52824830" w14:textId="77777777" w:rsidR="007B532F" w:rsidRPr="007B532F" w:rsidRDefault="007B532F" w:rsidP="006E25B6">
      <w:pPr>
        <w:pStyle w:val="NormalWeb"/>
        <w:tabs>
          <w:tab w:val="left" w:pos="1701"/>
          <w:tab w:val="left" w:pos="9923"/>
        </w:tabs>
        <w:spacing w:after="0"/>
        <w:ind w:left="1701" w:right="555"/>
        <w:rPr>
          <w:rFonts w:ascii="Arial" w:hAnsi="Arial" w:cs="Arial"/>
        </w:rPr>
      </w:pPr>
      <w:r w:rsidRPr="007B532F">
        <w:rPr>
          <w:rFonts w:ascii="Arial" w:hAnsi="Arial" w:cs="Arial"/>
        </w:rPr>
        <w:t xml:space="preserve">Claims, </w:t>
      </w:r>
      <w:proofErr w:type="gramStart"/>
      <w:r w:rsidRPr="007B532F">
        <w:rPr>
          <w:rFonts w:ascii="Arial" w:hAnsi="Arial" w:cs="Arial"/>
        </w:rPr>
        <w:t>awards</w:t>
      </w:r>
      <w:proofErr w:type="gramEnd"/>
      <w:r w:rsidRPr="007B532F">
        <w:rPr>
          <w:rFonts w:ascii="Arial" w:hAnsi="Arial" w:cs="Arial"/>
        </w:rPr>
        <w:t xml:space="preserve"> and information</w:t>
      </w:r>
    </w:p>
    <w:p w14:paraId="387B707C" w14:textId="3E679EFA" w:rsidR="007B532F" w:rsidRPr="007B532F" w:rsidRDefault="007B532F" w:rsidP="006E25B6">
      <w:pPr>
        <w:pStyle w:val="NormalWeb"/>
        <w:tabs>
          <w:tab w:val="left" w:pos="1701"/>
          <w:tab w:val="left" w:pos="9923"/>
        </w:tabs>
        <w:spacing w:after="0"/>
        <w:ind w:left="1701" w:right="555"/>
        <w:rPr>
          <w:rFonts w:ascii="Arial" w:hAnsi="Arial" w:cs="Arial"/>
        </w:rPr>
      </w:pPr>
      <w:r w:rsidRPr="007B532F">
        <w:rPr>
          <w:rFonts w:ascii="Arial" w:hAnsi="Arial" w:cs="Arial"/>
        </w:rPr>
        <w:t>(2)</w:t>
      </w:r>
      <w:r>
        <w:rPr>
          <w:rFonts w:ascii="Arial" w:hAnsi="Arial" w:cs="Arial"/>
        </w:rPr>
        <w:t xml:space="preserve"> </w:t>
      </w:r>
      <w:r w:rsidRPr="007B532F">
        <w:rPr>
          <w:rFonts w:ascii="Arial" w:hAnsi="Arial" w:cs="Arial"/>
        </w:rPr>
        <w:t>An award of personal independence payment is to be for a fixed term except where the</w:t>
      </w:r>
      <w:r>
        <w:rPr>
          <w:rFonts w:ascii="Arial" w:hAnsi="Arial" w:cs="Arial"/>
        </w:rPr>
        <w:t xml:space="preserve"> </w:t>
      </w:r>
      <w:r w:rsidRPr="007B532F">
        <w:rPr>
          <w:rFonts w:ascii="Arial" w:hAnsi="Arial" w:cs="Arial"/>
        </w:rPr>
        <w:t>person making the award considers that a fixed term award would be inappropriate.</w:t>
      </w:r>
    </w:p>
    <w:p w14:paraId="29E203A4" w14:textId="7249A44F" w:rsidR="007B532F" w:rsidRPr="007B532F" w:rsidRDefault="007B532F" w:rsidP="006E25B6">
      <w:pPr>
        <w:pStyle w:val="NormalWeb"/>
        <w:tabs>
          <w:tab w:val="left" w:pos="1701"/>
          <w:tab w:val="left" w:pos="9923"/>
        </w:tabs>
        <w:spacing w:after="0"/>
        <w:ind w:left="1701" w:right="555"/>
        <w:rPr>
          <w:rFonts w:ascii="Arial" w:hAnsi="Arial" w:cs="Arial"/>
        </w:rPr>
      </w:pPr>
      <w:r w:rsidRPr="007B532F">
        <w:rPr>
          <w:rFonts w:ascii="Arial" w:hAnsi="Arial" w:cs="Arial"/>
        </w:rPr>
        <w:t>(3)</w:t>
      </w:r>
      <w:r>
        <w:rPr>
          <w:rFonts w:ascii="Arial" w:hAnsi="Arial" w:cs="Arial"/>
        </w:rPr>
        <w:t xml:space="preserve"> </w:t>
      </w:r>
      <w:r w:rsidRPr="007B532F">
        <w:rPr>
          <w:rFonts w:ascii="Arial" w:hAnsi="Arial" w:cs="Arial"/>
        </w:rPr>
        <w:t>In deciding whether a fixed term award would be inappropriate, that person must have</w:t>
      </w:r>
      <w:r>
        <w:rPr>
          <w:rFonts w:ascii="Arial" w:hAnsi="Arial" w:cs="Arial"/>
        </w:rPr>
        <w:t xml:space="preserve"> </w:t>
      </w:r>
      <w:r w:rsidRPr="007B532F">
        <w:rPr>
          <w:rFonts w:ascii="Arial" w:hAnsi="Arial" w:cs="Arial"/>
        </w:rPr>
        <w:t>regard to guidance issued by the Secretary of State.</w:t>
      </w:r>
    </w:p>
    <w:p w14:paraId="440E9589" w14:textId="144F1523" w:rsidR="006E25B6" w:rsidRPr="006E25B6" w:rsidRDefault="006E25B6" w:rsidP="006E25B6">
      <w:pPr>
        <w:pStyle w:val="NormalWeb"/>
        <w:numPr>
          <w:ilvl w:val="0"/>
          <w:numId w:val="22"/>
        </w:numPr>
        <w:tabs>
          <w:tab w:val="left" w:pos="851"/>
          <w:tab w:val="left" w:pos="9923"/>
        </w:tabs>
        <w:spacing w:after="0" w:afterAutospacing="0"/>
        <w:ind w:left="851" w:right="271"/>
        <w:rPr>
          <w:rFonts w:ascii="Arial" w:hAnsi="Arial" w:cs="Arial"/>
        </w:rPr>
      </w:pPr>
      <w:r>
        <w:rPr>
          <w:rFonts w:ascii="Arial" w:hAnsi="Arial" w:cs="Arial"/>
        </w:rPr>
        <w:t xml:space="preserve">It is axiomatic that the Respondent considered that a fixed term award was inappropriate when the decision was made on 26/10/2018 </w:t>
      </w:r>
      <w:proofErr w:type="gramStart"/>
      <w:r w:rsidRPr="006E25B6">
        <w:rPr>
          <w:rFonts w:ascii="Arial" w:hAnsi="Arial" w:cs="Arial"/>
          <w:i/>
          <w:iCs/>
        </w:rPr>
        <w:t>( and</w:t>
      </w:r>
      <w:proofErr w:type="gramEnd"/>
      <w:r w:rsidRPr="006E25B6">
        <w:rPr>
          <w:rFonts w:ascii="Arial" w:hAnsi="Arial" w:cs="Arial"/>
          <w:i/>
          <w:iCs/>
        </w:rPr>
        <w:t xml:space="preserve"> nothing had changed</w:t>
      </w:r>
      <w:r>
        <w:rPr>
          <w:rFonts w:ascii="Arial" w:hAnsi="Arial" w:cs="Arial"/>
          <w:i/>
          <w:iCs/>
        </w:rPr>
        <w:t xml:space="preserve"> the Respondent’s mind </w:t>
      </w:r>
      <w:r w:rsidRPr="006E25B6">
        <w:rPr>
          <w:rFonts w:ascii="Arial" w:hAnsi="Arial" w:cs="Arial"/>
          <w:i/>
          <w:iCs/>
        </w:rPr>
        <w:t xml:space="preserve"> when the subsequent decision was made on 31/01/2019)</w:t>
      </w:r>
    </w:p>
    <w:p w14:paraId="60007D81" w14:textId="77777777" w:rsidR="006E25B6" w:rsidRPr="006E25B6" w:rsidRDefault="006E25B6" w:rsidP="006E25B6">
      <w:pPr>
        <w:pStyle w:val="NormalWeb"/>
        <w:tabs>
          <w:tab w:val="left" w:pos="851"/>
          <w:tab w:val="left" w:pos="9923"/>
        </w:tabs>
        <w:spacing w:after="0" w:afterAutospacing="0"/>
        <w:ind w:left="851" w:right="271"/>
        <w:rPr>
          <w:rFonts w:ascii="Arial" w:hAnsi="Arial" w:cs="Arial"/>
        </w:rPr>
      </w:pPr>
    </w:p>
    <w:p w14:paraId="2FCBDB2B" w14:textId="558AA3F3" w:rsidR="006E25B6" w:rsidRDefault="006E25B6" w:rsidP="006E25B6">
      <w:pPr>
        <w:pStyle w:val="NormalWeb"/>
        <w:numPr>
          <w:ilvl w:val="0"/>
          <w:numId w:val="22"/>
        </w:numPr>
        <w:tabs>
          <w:tab w:val="left" w:pos="851"/>
          <w:tab w:val="left" w:pos="9923"/>
        </w:tabs>
        <w:spacing w:before="0" w:beforeAutospacing="0" w:after="0" w:afterAutospacing="0"/>
        <w:ind w:left="851" w:right="271"/>
        <w:rPr>
          <w:rFonts w:ascii="Arial" w:hAnsi="Arial" w:cs="Arial"/>
        </w:rPr>
      </w:pPr>
      <w:r>
        <w:rPr>
          <w:rFonts w:ascii="Arial" w:hAnsi="Arial" w:cs="Arial"/>
        </w:rPr>
        <w:t xml:space="preserve">There is no specific provision in S88 which requires a fixed term award to be </w:t>
      </w:r>
      <w:r w:rsidR="004D69FC">
        <w:rPr>
          <w:rFonts w:ascii="Arial" w:hAnsi="Arial" w:cs="Arial"/>
        </w:rPr>
        <w:t>made,</w:t>
      </w:r>
      <w:r>
        <w:rPr>
          <w:rFonts w:ascii="Arial" w:hAnsi="Arial" w:cs="Arial"/>
        </w:rPr>
        <w:t xml:space="preserve"> but I concede that S88(3) requires the decision maker to have regard to guidance issued by the Secretary of State</w:t>
      </w:r>
      <w:r w:rsidR="008E4C94">
        <w:rPr>
          <w:rFonts w:ascii="Arial" w:hAnsi="Arial" w:cs="Arial"/>
        </w:rPr>
        <w:t>.</w:t>
      </w:r>
    </w:p>
    <w:p w14:paraId="0161CB5B" w14:textId="77777777" w:rsidR="008E4C94" w:rsidRDefault="008E4C94" w:rsidP="008E4C94">
      <w:pPr>
        <w:pStyle w:val="ListParagraph"/>
        <w:rPr>
          <w:rFonts w:ascii="Arial" w:hAnsi="Arial" w:cs="Arial"/>
        </w:rPr>
      </w:pPr>
    </w:p>
    <w:p w14:paraId="211A19F0" w14:textId="5EFCB3A9" w:rsidR="008E4C94" w:rsidRPr="008E4C94" w:rsidRDefault="008E4C94" w:rsidP="00ED639B">
      <w:pPr>
        <w:pStyle w:val="NormalWeb"/>
        <w:numPr>
          <w:ilvl w:val="0"/>
          <w:numId w:val="22"/>
        </w:numPr>
        <w:tabs>
          <w:tab w:val="left" w:pos="851"/>
          <w:tab w:val="left" w:pos="9923"/>
        </w:tabs>
        <w:spacing w:after="0"/>
        <w:ind w:left="851" w:right="271"/>
        <w:rPr>
          <w:rFonts w:ascii="Arial" w:hAnsi="Arial" w:cs="Arial"/>
        </w:rPr>
      </w:pPr>
      <w:r>
        <w:rPr>
          <w:rFonts w:ascii="Arial" w:hAnsi="Arial" w:cs="Arial"/>
        </w:rPr>
        <w:t xml:space="preserve">The issues were considered by Judge Mitchell in </w:t>
      </w:r>
      <w:r w:rsidRPr="008E4C94">
        <w:rPr>
          <w:rFonts w:ascii="Arial" w:hAnsi="Arial" w:cs="Arial"/>
        </w:rPr>
        <w:t>RS v Secretary of State for Work and Pensions</w:t>
      </w:r>
      <w:r>
        <w:rPr>
          <w:rFonts w:ascii="Arial" w:hAnsi="Arial" w:cs="Arial"/>
        </w:rPr>
        <w:t xml:space="preserve"> </w:t>
      </w:r>
      <w:r w:rsidRPr="008E4C94">
        <w:rPr>
          <w:rFonts w:ascii="Arial" w:hAnsi="Arial" w:cs="Arial"/>
        </w:rPr>
        <w:t>[2016] UKUT 0085 (AAC)</w:t>
      </w:r>
      <w:r>
        <w:rPr>
          <w:rFonts w:ascii="Arial" w:hAnsi="Arial" w:cs="Arial"/>
        </w:rPr>
        <w:t>.  Judge Mitchell held at [1]-[3]</w:t>
      </w:r>
      <w:r w:rsidR="00ED639B">
        <w:rPr>
          <w:rFonts w:ascii="Arial" w:hAnsi="Arial" w:cs="Arial"/>
        </w:rPr>
        <w:t xml:space="preserve"> </w:t>
      </w:r>
      <w:r w:rsidR="004D69FC">
        <w:rPr>
          <w:rFonts w:ascii="Arial" w:hAnsi="Arial" w:cs="Arial"/>
        </w:rPr>
        <w:t>(the</w:t>
      </w:r>
      <w:r w:rsidR="00ED639B">
        <w:rPr>
          <w:rFonts w:ascii="Arial" w:hAnsi="Arial" w:cs="Arial"/>
        </w:rPr>
        <w:t xml:space="preserve"> emphases are mine</w:t>
      </w:r>
    </w:p>
    <w:p w14:paraId="78B980E5" w14:textId="77777777" w:rsidR="008E4C94" w:rsidRPr="008E4C94" w:rsidRDefault="008E4C94" w:rsidP="00ED639B">
      <w:pPr>
        <w:pStyle w:val="NormalWeb"/>
        <w:tabs>
          <w:tab w:val="left" w:pos="851"/>
          <w:tab w:val="left" w:pos="9923"/>
        </w:tabs>
        <w:spacing w:after="0"/>
        <w:ind w:left="2552" w:right="271"/>
        <w:rPr>
          <w:rFonts w:ascii="Arial" w:hAnsi="Arial" w:cs="Arial"/>
        </w:rPr>
      </w:pPr>
      <w:r w:rsidRPr="008E4C94">
        <w:rPr>
          <w:rFonts w:ascii="Arial" w:hAnsi="Arial" w:cs="Arial"/>
        </w:rPr>
        <w:t>REASONS FOR DECISION</w:t>
      </w:r>
    </w:p>
    <w:p w14:paraId="7F92D882" w14:textId="77777777" w:rsidR="008E4C94" w:rsidRPr="008E4C94" w:rsidRDefault="008E4C94" w:rsidP="00ED639B">
      <w:pPr>
        <w:pStyle w:val="NormalWeb"/>
        <w:tabs>
          <w:tab w:val="left" w:pos="851"/>
          <w:tab w:val="left" w:pos="9923"/>
        </w:tabs>
        <w:spacing w:after="0"/>
        <w:ind w:left="1701" w:right="271"/>
        <w:rPr>
          <w:rFonts w:ascii="Arial" w:hAnsi="Arial" w:cs="Arial"/>
        </w:rPr>
      </w:pPr>
      <w:r w:rsidRPr="008E4C94">
        <w:rPr>
          <w:rFonts w:ascii="Arial" w:hAnsi="Arial" w:cs="Arial"/>
        </w:rPr>
        <w:t>Introduction and summary of reasons</w:t>
      </w:r>
    </w:p>
    <w:p w14:paraId="06C0DE7F" w14:textId="17DD8D4D"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1. This appeal raises two questions of general importance. Firstly, what is the start date of an</w:t>
      </w:r>
      <w:r>
        <w:rPr>
          <w:rFonts w:ascii="Arial" w:hAnsi="Arial" w:cs="Arial"/>
        </w:rPr>
        <w:t xml:space="preserve"> </w:t>
      </w:r>
      <w:r w:rsidRPr="008E4C94">
        <w:rPr>
          <w:rFonts w:ascii="Arial" w:hAnsi="Arial" w:cs="Arial"/>
        </w:rPr>
        <w:t>award of Personal Independence Payment (PIP) granted to a transfer claimant (a person who</w:t>
      </w:r>
      <w:r>
        <w:rPr>
          <w:rFonts w:ascii="Arial" w:hAnsi="Arial" w:cs="Arial"/>
        </w:rPr>
        <w:t xml:space="preserve"> </w:t>
      </w:r>
      <w:r w:rsidRPr="008E4C94">
        <w:rPr>
          <w:rFonts w:ascii="Arial" w:hAnsi="Arial" w:cs="Arial"/>
        </w:rPr>
        <w:t>was previously entitled to Disability Living Allowance (DLA))? Secondly, what is the legal</w:t>
      </w:r>
      <w:r>
        <w:rPr>
          <w:rFonts w:ascii="Arial" w:hAnsi="Arial" w:cs="Arial"/>
        </w:rPr>
        <w:t xml:space="preserve"> </w:t>
      </w:r>
      <w:r w:rsidRPr="008E4C94">
        <w:rPr>
          <w:rFonts w:ascii="Arial" w:hAnsi="Arial" w:cs="Arial"/>
        </w:rPr>
        <w:t>framework for deciding whether a PIP award should be an indefinite award or for a fixed term?</w:t>
      </w:r>
    </w:p>
    <w:p w14:paraId="36653F64" w14:textId="1928BE1C"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2. The answer to the first question is that PIP transfer awards have effect from a date</w:t>
      </w:r>
      <w:r w:rsidR="00ED639B">
        <w:rPr>
          <w:rFonts w:ascii="Arial" w:hAnsi="Arial" w:cs="Arial"/>
        </w:rPr>
        <w:t xml:space="preserve"> </w:t>
      </w:r>
      <w:r w:rsidRPr="008E4C94">
        <w:rPr>
          <w:rFonts w:ascii="Arial" w:hAnsi="Arial" w:cs="Arial"/>
        </w:rPr>
        <w:t>determined by reference to the Secretary of State’s entitlement decision, not the date of the</w:t>
      </w:r>
      <w:r>
        <w:rPr>
          <w:rFonts w:ascii="Arial" w:hAnsi="Arial" w:cs="Arial"/>
        </w:rPr>
        <w:t xml:space="preserve"> </w:t>
      </w:r>
      <w:r w:rsidRPr="008E4C94">
        <w:rPr>
          <w:rFonts w:ascii="Arial" w:hAnsi="Arial" w:cs="Arial"/>
        </w:rPr>
        <w:t>transfer claim.</w:t>
      </w:r>
    </w:p>
    <w:p w14:paraId="0D48A909" w14:textId="3A083EE5"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lastRenderedPageBreak/>
        <w:t xml:space="preserve">3. The second question raises </w:t>
      </w:r>
      <w:proofErr w:type="gramStart"/>
      <w:r w:rsidRPr="008E4C94">
        <w:rPr>
          <w:rFonts w:ascii="Arial" w:hAnsi="Arial" w:cs="Arial"/>
        </w:rPr>
        <w:t>a number of</w:t>
      </w:r>
      <w:proofErr w:type="gramEnd"/>
      <w:r w:rsidRPr="008E4C94">
        <w:rPr>
          <w:rFonts w:ascii="Arial" w:hAnsi="Arial" w:cs="Arial"/>
        </w:rPr>
        <w:t xml:space="preserve"> issues. In summary, my conclusions in this respect</w:t>
      </w:r>
      <w:r>
        <w:rPr>
          <w:rFonts w:ascii="Arial" w:hAnsi="Arial" w:cs="Arial"/>
        </w:rPr>
        <w:t xml:space="preserve"> </w:t>
      </w:r>
      <w:r w:rsidRPr="008E4C94">
        <w:rPr>
          <w:rFonts w:ascii="Arial" w:hAnsi="Arial" w:cs="Arial"/>
        </w:rPr>
        <w:t>are:</w:t>
      </w:r>
    </w:p>
    <w:p w14:paraId="30A9695E" w14:textId="34554B86"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(a) the Welfare Reform Act 2012 (“the 2012 Act”) enacts a qualified requirement that PIP</w:t>
      </w:r>
      <w:r>
        <w:rPr>
          <w:rFonts w:ascii="Arial" w:hAnsi="Arial" w:cs="Arial"/>
        </w:rPr>
        <w:t xml:space="preserve"> </w:t>
      </w:r>
      <w:r w:rsidRPr="008E4C94">
        <w:rPr>
          <w:rFonts w:ascii="Arial" w:hAnsi="Arial" w:cs="Arial"/>
        </w:rPr>
        <w:t xml:space="preserve">awards are to be for a fixed </w:t>
      </w:r>
      <w:proofErr w:type="gramStart"/>
      <w:r w:rsidRPr="008E4C94">
        <w:rPr>
          <w:rFonts w:ascii="Arial" w:hAnsi="Arial" w:cs="Arial"/>
        </w:rPr>
        <w:t>term;</w:t>
      </w:r>
      <w:proofErr w:type="gramEnd"/>
    </w:p>
    <w:p w14:paraId="7DDD6C9C" w14:textId="6E54CB09"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(b) the statutory qualification to the requirement for fixed term awards is that a fixed term</w:t>
      </w:r>
      <w:r w:rsidR="00ED639B">
        <w:rPr>
          <w:rFonts w:ascii="Arial" w:hAnsi="Arial" w:cs="Arial"/>
        </w:rPr>
        <w:t xml:space="preserve"> </w:t>
      </w:r>
      <w:r w:rsidRPr="008E4C94">
        <w:rPr>
          <w:rFonts w:ascii="Arial" w:hAnsi="Arial" w:cs="Arial"/>
        </w:rPr>
        <w:t xml:space="preserve">award would be “inappropriate”. In deciding whether a fixed term would be inappropriate, </w:t>
      </w:r>
      <w:r w:rsidRPr="00ED639B">
        <w:rPr>
          <w:rFonts w:ascii="Arial" w:hAnsi="Arial" w:cs="Arial"/>
          <w:b/>
          <w:bCs/>
        </w:rPr>
        <w:t>a</w:t>
      </w:r>
      <w:r w:rsidR="00ED639B" w:rsidRPr="00ED639B">
        <w:rPr>
          <w:rFonts w:ascii="Arial" w:hAnsi="Arial" w:cs="Arial"/>
          <w:b/>
          <w:bCs/>
        </w:rPr>
        <w:t xml:space="preserve"> </w:t>
      </w:r>
      <w:r w:rsidRPr="00ED639B">
        <w:rPr>
          <w:rFonts w:ascii="Arial" w:hAnsi="Arial" w:cs="Arial"/>
          <w:b/>
          <w:bCs/>
        </w:rPr>
        <w:t>key consideration is the likely persistence of an individual’s limiting</w:t>
      </w:r>
      <w:r w:rsidRPr="008E4C94">
        <w:rPr>
          <w:rFonts w:ascii="Arial" w:hAnsi="Arial" w:cs="Arial"/>
        </w:rPr>
        <w:t xml:space="preserve"> </w:t>
      </w:r>
      <w:r w:rsidRPr="00ED639B">
        <w:rPr>
          <w:rFonts w:ascii="Arial" w:hAnsi="Arial" w:cs="Arial"/>
          <w:b/>
          <w:bCs/>
        </w:rPr>
        <w:t>conditions</w:t>
      </w:r>
      <w:r w:rsidRPr="008E4C94">
        <w:rPr>
          <w:rFonts w:ascii="Arial" w:hAnsi="Arial" w:cs="Arial"/>
        </w:rPr>
        <w:t>. A further</w:t>
      </w:r>
      <w:r w:rsidR="00ED639B">
        <w:rPr>
          <w:rFonts w:ascii="Arial" w:hAnsi="Arial" w:cs="Arial"/>
        </w:rPr>
        <w:t xml:space="preserve"> </w:t>
      </w:r>
      <w:r w:rsidRPr="008E4C94">
        <w:rPr>
          <w:rFonts w:ascii="Arial" w:hAnsi="Arial" w:cs="Arial"/>
        </w:rPr>
        <w:t>consideration in favour of fixed term awards is the relative ease with which the DWP may reopen</w:t>
      </w:r>
      <w:r w:rsidR="00ED639B">
        <w:rPr>
          <w:rFonts w:ascii="Arial" w:hAnsi="Arial" w:cs="Arial"/>
        </w:rPr>
        <w:t xml:space="preserve"> </w:t>
      </w:r>
      <w:r w:rsidRPr="008E4C94">
        <w:rPr>
          <w:rFonts w:ascii="Arial" w:hAnsi="Arial" w:cs="Arial"/>
        </w:rPr>
        <w:t xml:space="preserve">the question of a PIP recipient’s entitlement even if s/he has an indefinite </w:t>
      </w:r>
      <w:proofErr w:type="gramStart"/>
      <w:r w:rsidRPr="008E4C94">
        <w:rPr>
          <w:rFonts w:ascii="Arial" w:hAnsi="Arial" w:cs="Arial"/>
        </w:rPr>
        <w:t>award;</w:t>
      </w:r>
      <w:proofErr w:type="gramEnd"/>
    </w:p>
    <w:p w14:paraId="329C86C5" w14:textId="77777777"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 xml:space="preserve">(c) </w:t>
      </w:r>
      <w:r w:rsidRPr="00ED639B">
        <w:rPr>
          <w:rFonts w:ascii="Arial" w:hAnsi="Arial" w:cs="Arial"/>
          <w:b/>
          <w:bCs/>
        </w:rPr>
        <w:t xml:space="preserve">if a fixed term award would be inappropriate, an indefinite award is to be </w:t>
      </w:r>
      <w:proofErr w:type="gramStart"/>
      <w:r w:rsidRPr="00ED639B">
        <w:rPr>
          <w:rFonts w:ascii="Arial" w:hAnsi="Arial" w:cs="Arial"/>
          <w:b/>
          <w:bCs/>
        </w:rPr>
        <w:t>made</w:t>
      </w:r>
      <w:r w:rsidRPr="008E4C94">
        <w:rPr>
          <w:rFonts w:ascii="Arial" w:hAnsi="Arial" w:cs="Arial"/>
        </w:rPr>
        <w:t>;</w:t>
      </w:r>
      <w:proofErr w:type="gramEnd"/>
    </w:p>
    <w:p w14:paraId="0A991302" w14:textId="291ECE72"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w:t>
      </w:r>
      <w:r w:rsidRPr="00ED639B">
        <w:rPr>
          <w:rFonts w:ascii="Arial" w:hAnsi="Arial" w:cs="Arial"/>
          <w:b/>
          <w:bCs/>
        </w:rPr>
        <w:t>d) the First-tier Tribunal has jurisdiction to hear an appeal against a decision not to make an</w:t>
      </w:r>
      <w:r w:rsidR="00ED639B" w:rsidRPr="00ED639B">
        <w:rPr>
          <w:rFonts w:ascii="Arial" w:hAnsi="Arial" w:cs="Arial"/>
          <w:b/>
          <w:bCs/>
        </w:rPr>
        <w:t xml:space="preserve"> </w:t>
      </w:r>
      <w:r w:rsidRPr="00ED639B">
        <w:rPr>
          <w:rFonts w:ascii="Arial" w:hAnsi="Arial" w:cs="Arial"/>
          <w:b/>
          <w:bCs/>
        </w:rPr>
        <w:t xml:space="preserve">indefinite </w:t>
      </w:r>
      <w:proofErr w:type="gramStart"/>
      <w:r w:rsidRPr="00ED639B">
        <w:rPr>
          <w:rFonts w:ascii="Arial" w:hAnsi="Arial" w:cs="Arial"/>
          <w:b/>
          <w:bCs/>
        </w:rPr>
        <w:t>award</w:t>
      </w:r>
      <w:r w:rsidRPr="008E4C94">
        <w:rPr>
          <w:rFonts w:ascii="Arial" w:hAnsi="Arial" w:cs="Arial"/>
        </w:rPr>
        <w:t>;</w:t>
      </w:r>
      <w:proofErr w:type="gramEnd"/>
    </w:p>
    <w:p w14:paraId="4DF696FB" w14:textId="39DBE7E6" w:rsidR="008E4C94" w:rsidRPr="00ED639B" w:rsidRDefault="008E4C94" w:rsidP="00ED639B">
      <w:pPr>
        <w:pStyle w:val="NormalWeb"/>
        <w:tabs>
          <w:tab w:val="left" w:pos="851"/>
          <w:tab w:val="left" w:pos="9923"/>
        </w:tabs>
        <w:spacing w:after="0"/>
        <w:ind w:left="1276" w:right="555"/>
        <w:rPr>
          <w:rFonts w:ascii="Arial" w:hAnsi="Arial" w:cs="Arial"/>
          <w:b/>
          <w:bCs/>
          <w:u w:val="single"/>
        </w:rPr>
      </w:pPr>
      <w:r w:rsidRPr="008E4C94">
        <w:rPr>
          <w:rFonts w:ascii="Arial" w:hAnsi="Arial" w:cs="Arial"/>
        </w:rPr>
        <w:t>(e) if the Secretary of State issues guidance under section 88(3) of the 2012 Act about</w:t>
      </w:r>
      <w:r w:rsidR="00ED639B">
        <w:rPr>
          <w:rFonts w:ascii="Arial" w:hAnsi="Arial" w:cs="Arial"/>
        </w:rPr>
        <w:t xml:space="preserve"> </w:t>
      </w:r>
      <w:r w:rsidRPr="008E4C94">
        <w:rPr>
          <w:rFonts w:ascii="Arial" w:hAnsi="Arial" w:cs="Arial"/>
        </w:rPr>
        <w:t xml:space="preserve">deciding whether a fixed term award would be inappropriate, the First-tier Tribunal is </w:t>
      </w:r>
      <w:r w:rsidRPr="00ED639B">
        <w:rPr>
          <w:rFonts w:ascii="Arial" w:hAnsi="Arial" w:cs="Arial"/>
          <w:u w:val="single"/>
        </w:rPr>
        <w:t>required</w:t>
      </w:r>
      <w:r w:rsidR="00ED639B" w:rsidRPr="00ED639B">
        <w:rPr>
          <w:rFonts w:ascii="Arial" w:hAnsi="Arial" w:cs="Arial"/>
          <w:u w:val="single"/>
        </w:rPr>
        <w:t xml:space="preserve"> t</w:t>
      </w:r>
      <w:r w:rsidRPr="00ED639B">
        <w:rPr>
          <w:rFonts w:ascii="Arial" w:hAnsi="Arial" w:cs="Arial"/>
          <w:u w:val="single"/>
        </w:rPr>
        <w:t>o have regard to the guidance</w:t>
      </w:r>
      <w:r w:rsidRPr="008E4C94">
        <w:rPr>
          <w:rFonts w:ascii="Arial" w:hAnsi="Arial" w:cs="Arial"/>
        </w:rPr>
        <w:t xml:space="preserve">. </w:t>
      </w:r>
      <w:r w:rsidRPr="00ED639B">
        <w:rPr>
          <w:rFonts w:ascii="Arial" w:hAnsi="Arial" w:cs="Arial"/>
          <w:b/>
          <w:bCs/>
          <w:u w:val="single"/>
        </w:rPr>
        <w:t xml:space="preserve">But the guidance must not be treated as if it were a </w:t>
      </w:r>
      <w:proofErr w:type="gramStart"/>
      <w:r w:rsidRPr="00ED639B">
        <w:rPr>
          <w:rFonts w:ascii="Arial" w:hAnsi="Arial" w:cs="Arial"/>
          <w:b/>
          <w:bCs/>
          <w:u w:val="single"/>
        </w:rPr>
        <w:t>rule;</w:t>
      </w:r>
      <w:proofErr w:type="gramEnd"/>
    </w:p>
    <w:p w14:paraId="55134DCE" w14:textId="2374992B"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(f) in fixing the duration of a fixed term award, relevant considerations will include the likely</w:t>
      </w:r>
      <w:r w:rsidR="00ED639B">
        <w:rPr>
          <w:rFonts w:ascii="Arial" w:hAnsi="Arial" w:cs="Arial"/>
        </w:rPr>
        <w:t xml:space="preserve"> </w:t>
      </w:r>
      <w:r w:rsidRPr="008E4C94">
        <w:rPr>
          <w:rFonts w:ascii="Arial" w:hAnsi="Arial" w:cs="Arial"/>
        </w:rPr>
        <w:t>persistence of an individual’s limiting conditions and the relative ease with which PIP</w:t>
      </w:r>
      <w:r w:rsidR="00ED639B">
        <w:rPr>
          <w:rFonts w:ascii="Arial" w:hAnsi="Arial" w:cs="Arial"/>
        </w:rPr>
        <w:t xml:space="preserve"> </w:t>
      </w:r>
      <w:r w:rsidRPr="008E4C94">
        <w:rPr>
          <w:rFonts w:ascii="Arial" w:hAnsi="Arial" w:cs="Arial"/>
        </w:rPr>
        <w:t>entitlement may be re-opened before the end of the fixed term. Generally, the likely persistence</w:t>
      </w:r>
      <w:r w:rsidR="00ED639B">
        <w:rPr>
          <w:rFonts w:ascii="Arial" w:hAnsi="Arial" w:cs="Arial"/>
        </w:rPr>
        <w:t xml:space="preserve"> </w:t>
      </w:r>
      <w:r w:rsidRPr="008E4C94">
        <w:rPr>
          <w:rFonts w:ascii="Arial" w:hAnsi="Arial" w:cs="Arial"/>
        </w:rPr>
        <w:t xml:space="preserve">of limiting conditions and duration of a fixed term award are positively </w:t>
      </w:r>
      <w:proofErr w:type="gramStart"/>
      <w:r w:rsidRPr="008E4C94">
        <w:rPr>
          <w:rFonts w:ascii="Arial" w:hAnsi="Arial" w:cs="Arial"/>
        </w:rPr>
        <w:t>related;</w:t>
      </w:r>
      <w:proofErr w:type="gramEnd"/>
    </w:p>
    <w:p w14:paraId="76648B00" w14:textId="6E28B3E0"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(g) rigid categories for the duration of fixed term awards are not compatible with the purpose</w:t>
      </w:r>
      <w:r w:rsidR="00ED639B">
        <w:rPr>
          <w:rFonts w:ascii="Arial" w:hAnsi="Arial" w:cs="Arial"/>
        </w:rPr>
        <w:t xml:space="preserve"> </w:t>
      </w:r>
      <w:r w:rsidRPr="008E4C94">
        <w:rPr>
          <w:rFonts w:ascii="Arial" w:hAnsi="Arial" w:cs="Arial"/>
        </w:rPr>
        <w:t xml:space="preserve">of the 2012 </w:t>
      </w:r>
      <w:proofErr w:type="gramStart"/>
      <w:r w:rsidRPr="008E4C94">
        <w:rPr>
          <w:rFonts w:ascii="Arial" w:hAnsi="Arial" w:cs="Arial"/>
        </w:rPr>
        <w:t>Act;</w:t>
      </w:r>
      <w:proofErr w:type="gramEnd"/>
    </w:p>
    <w:p w14:paraId="3ED41CDE" w14:textId="45518145" w:rsidR="008E4C94" w:rsidRPr="008E4C94" w:rsidRDefault="008E4C94" w:rsidP="00ED639B">
      <w:pPr>
        <w:pStyle w:val="NormalWeb"/>
        <w:tabs>
          <w:tab w:val="left" w:pos="851"/>
          <w:tab w:val="left" w:pos="9923"/>
        </w:tabs>
        <w:spacing w:after="0"/>
        <w:ind w:left="1276" w:right="555"/>
        <w:rPr>
          <w:rFonts w:ascii="Arial" w:hAnsi="Arial" w:cs="Arial"/>
        </w:rPr>
      </w:pPr>
      <w:r w:rsidRPr="008E4C94">
        <w:rPr>
          <w:rFonts w:ascii="Arial" w:hAnsi="Arial" w:cs="Arial"/>
        </w:rPr>
        <w:t>(h) the First-tier Tribunal has jurisdiction to hear an appeal against the duration of a fixed term</w:t>
      </w:r>
      <w:r w:rsidR="00ED639B">
        <w:rPr>
          <w:rFonts w:ascii="Arial" w:hAnsi="Arial" w:cs="Arial"/>
        </w:rPr>
        <w:t xml:space="preserve"> </w:t>
      </w:r>
      <w:r w:rsidRPr="008E4C94">
        <w:rPr>
          <w:rFonts w:ascii="Arial" w:hAnsi="Arial" w:cs="Arial"/>
        </w:rPr>
        <w:t>award.</w:t>
      </w:r>
    </w:p>
    <w:p w14:paraId="4C9765B0" w14:textId="7EE7B8FB" w:rsidR="00F408BD" w:rsidRDefault="00ED639B"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rPr>
      </w:pPr>
      <w:r>
        <w:rPr>
          <w:rFonts w:ascii="Arial" w:hAnsi="Arial" w:cs="Arial"/>
        </w:rPr>
        <w:t xml:space="preserve">Mr </w:t>
      </w:r>
      <w:r w:rsidR="00E3398E">
        <w:rPr>
          <w:rFonts w:ascii="Arial" w:hAnsi="Arial" w:cs="Arial"/>
        </w:rPr>
        <w:t>X</w:t>
      </w:r>
      <w:r>
        <w:rPr>
          <w:rFonts w:ascii="Arial" w:hAnsi="Arial" w:cs="Arial"/>
        </w:rPr>
        <w:t xml:space="preserve"> claimed PIP on 28/04/2016.  RS was decided on 11/02/2016</w:t>
      </w:r>
      <w:r w:rsidR="00F408BD">
        <w:rPr>
          <w:rFonts w:ascii="Arial" w:hAnsi="Arial" w:cs="Arial"/>
        </w:rPr>
        <w:t xml:space="preserve">, some 2 months before Mr </w:t>
      </w:r>
      <w:r w:rsidR="00E3398E">
        <w:rPr>
          <w:rFonts w:ascii="Arial" w:hAnsi="Arial" w:cs="Arial"/>
        </w:rPr>
        <w:t>X</w:t>
      </w:r>
      <w:r w:rsidR="00F408BD">
        <w:rPr>
          <w:rFonts w:ascii="Arial" w:hAnsi="Arial" w:cs="Arial"/>
        </w:rPr>
        <w:t xml:space="preserve"> made his claim</w:t>
      </w:r>
      <w:r>
        <w:rPr>
          <w:rFonts w:ascii="Arial" w:hAnsi="Arial" w:cs="Arial"/>
        </w:rPr>
        <w:t xml:space="preserve">.  </w:t>
      </w:r>
      <w:r w:rsidR="00F408BD">
        <w:rPr>
          <w:rFonts w:ascii="Arial" w:hAnsi="Arial" w:cs="Arial"/>
        </w:rPr>
        <w:t>Notice of the Respondent’s</w:t>
      </w:r>
      <w:r>
        <w:rPr>
          <w:rFonts w:ascii="Arial" w:hAnsi="Arial" w:cs="Arial"/>
        </w:rPr>
        <w:t xml:space="preserve"> decision to make an indefinite award was </w:t>
      </w:r>
      <w:r w:rsidR="00F408BD">
        <w:rPr>
          <w:rFonts w:ascii="Arial" w:hAnsi="Arial" w:cs="Arial"/>
        </w:rPr>
        <w:t xml:space="preserve">issued to Mr </w:t>
      </w:r>
      <w:r w:rsidR="00E3398E">
        <w:rPr>
          <w:rFonts w:ascii="Arial" w:hAnsi="Arial" w:cs="Arial"/>
        </w:rPr>
        <w:t>X</w:t>
      </w:r>
      <w:r w:rsidR="00F408BD">
        <w:rPr>
          <w:rFonts w:ascii="Arial" w:hAnsi="Arial" w:cs="Arial"/>
        </w:rPr>
        <w:t xml:space="preserve"> on 26/10/2018, more than 2 years after RS.  The Respondent reviewed the decision making the indefinite ward on 31/01/2019, almost 3 years after RS.</w:t>
      </w:r>
    </w:p>
    <w:p w14:paraId="11A55F8F" w14:textId="77777777" w:rsidR="00F408BD" w:rsidRDefault="00F408BD" w:rsidP="00F408BD">
      <w:pPr>
        <w:pStyle w:val="NormalWeb"/>
        <w:tabs>
          <w:tab w:val="left" w:pos="851"/>
          <w:tab w:val="left" w:pos="9923"/>
        </w:tabs>
        <w:spacing w:before="0" w:beforeAutospacing="0" w:after="0" w:afterAutospacing="0"/>
        <w:ind w:left="851" w:right="271"/>
        <w:rPr>
          <w:rFonts w:ascii="Arial" w:hAnsi="Arial" w:cs="Arial"/>
        </w:rPr>
      </w:pPr>
    </w:p>
    <w:p w14:paraId="089A5389" w14:textId="7A4D6586" w:rsidR="004E42F0" w:rsidRDefault="00F408BD"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u w:val="single"/>
        </w:rPr>
      </w:pPr>
      <w:r>
        <w:rPr>
          <w:rFonts w:ascii="Arial" w:hAnsi="Arial" w:cs="Arial"/>
        </w:rPr>
        <w:t xml:space="preserve">The dates are significant because RS confirms </w:t>
      </w:r>
      <w:r w:rsidRPr="00F408BD">
        <w:rPr>
          <w:rFonts w:ascii="Arial" w:hAnsi="Arial" w:cs="Arial"/>
          <w:u w:val="single"/>
        </w:rPr>
        <w:t xml:space="preserve">that the Secretary of State’s guidance must not be treated as if it were a rule. </w:t>
      </w:r>
    </w:p>
    <w:p w14:paraId="0529ABA8" w14:textId="77777777" w:rsidR="00F408BD" w:rsidRDefault="00F408BD" w:rsidP="00F408BD">
      <w:pPr>
        <w:pStyle w:val="ListParagraph"/>
        <w:rPr>
          <w:rFonts w:ascii="Arial" w:hAnsi="Arial" w:cs="Arial"/>
          <w:u w:val="single"/>
        </w:rPr>
      </w:pPr>
    </w:p>
    <w:p w14:paraId="63E5E25B" w14:textId="04EF8AD5" w:rsidR="00F408BD" w:rsidRDefault="00F408BD"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rPr>
      </w:pPr>
      <w:r w:rsidRPr="00F408BD">
        <w:rPr>
          <w:rFonts w:ascii="Arial" w:hAnsi="Arial" w:cs="Arial"/>
        </w:rPr>
        <w:t xml:space="preserve">I also note that </w:t>
      </w:r>
      <w:r>
        <w:rPr>
          <w:rFonts w:ascii="Arial" w:hAnsi="Arial" w:cs="Arial"/>
        </w:rPr>
        <w:t xml:space="preserve">Judge Mitchell found that the Secretary of State had not issued any guidance under S88(3) at the time he made his decision, </w:t>
      </w:r>
      <w:r w:rsidRPr="00F408BD">
        <w:rPr>
          <w:rFonts w:ascii="Arial" w:hAnsi="Arial" w:cs="Arial"/>
          <w:b/>
          <w:bCs/>
          <w:u w:val="single"/>
        </w:rPr>
        <w:t xml:space="preserve">and I have not been able to find any guidance issued by the Secretary of </w:t>
      </w:r>
      <w:proofErr w:type="gramStart"/>
      <w:r w:rsidRPr="00F408BD">
        <w:rPr>
          <w:rFonts w:ascii="Arial" w:hAnsi="Arial" w:cs="Arial"/>
          <w:b/>
          <w:bCs/>
          <w:u w:val="single"/>
        </w:rPr>
        <w:t>State  subsequent</w:t>
      </w:r>
      <w:proofErr w:type="gramEnd"/>
      <w:r w:rsidRPr="00F408BD">
        <w:rPr>
          <w:rFonts w:ascii="Arial" w:hAnsi="Arial" w:cs="Arial"/>
          <w:b/>
          <w:bCs/>
          <w:u w:val="single"/>
        </w:rPr>
        <w:t xml:space="preserve"> to RS</w:t>
      </w:r>
      <w:r>
        <w:rPr>
          <w:rFonts w:ascii="Arial" w:hAnsi="Arial" w:cs="Arial"/>
        </w:rPr>
        <w:t>.</w:t>
      </w:r>
    </w:p>
    <w:p w14:paraId="34AEAECB" w14:textId="77777777" w:rsidR="00F408BD" w:rsidRDefault="00F408BD" w:rsidP="00F408BD">
      <w:pPr>
        <w:pStyle w:val="ListParagraph"/>
        <w:rPr>
          <w:rFonts w:ascii="Arial" w:hAnsi="Arial" w:cs="Arial"/>
        </w:rPr>
      </w:pPr>
    </w:p>
    <w:p w14:paraId="3002AEBC" w14:textId="7D01BAD0" w:rsidR="00F97293" w:rsidRPr="004F61A4" w:rsidRDefault="00F408BD" w:rsidP="004F61A4">
      <w:pPr>
        <w:pStyle w:val="NormalWeb"/>
        <w:numPr>
          <w:ilvl w:val="0"/>
          <w:numId w:val="22"/>
        </w:numPr>
        <w:tabs>
          <w:tab w:val="left" w:pos="851"/>
          <w:tab w:val="left" w:pos="9923"/>
        </w:tabs>
        <w:spacing w:before="0" w:beforeAutospacing="0" w:after="0" w:afterAutospacing="0"/>
        <w:ind w:left="851" w:right="413" w:hanging="425"/>
        <w:rPr>
          <w:rFonts w:ascii="Arial" w:hAnsi="Arial" w:cs="Arial"/>
        </w:rPr>
      </w:pPr>
      <w:r>
        <w:rPr>
          <w:rFonts w:ascii="Arial" w:hAnsi="Arial" w:cs="Arial"/>
        </w:rPr>
        <w:lastRenderedPageBreak/>
        <w:t xml:space="preserve">I therefore submit that RS supports my case that </w:t>
      </w:r>
      <w:r w:rsidR="00F97293">
        <w:rPr>
          <w:rFonts w:ascii="Arial" w:hAnsi="Arial" w:cs="Arial"/>
        </w:rPr>
        <w:t>there was no error in the decision dated 26/10/2018 making the indefinite award.</w:t>
      </w:r>
      <w:r w:rsidR="004F61A4">
        <w:rPr>
          <w:rFonts w:ascii="Arial" w:hAnsi="Arial" w:cs="Arial"/>
        </w:rPr>
        <w:t xml:space="preserve"> </w:t>
      </w:r>
      <w:r w:rsidR="00F97293" w:rsidRPr="004F61A4">
        <w:rPr>
          <w:rFonts w:ascii="Arial" w:hAnsi="Arial" w:cs="Arial"/>
        </w:rPr>
        <w:t>The decision</w:t>
      </w:r>
      <w:r w:rsidR="004F61A4">
        <w:rPr>
          <w:rFonts w:ascii="Arial" w:hAnsi="Arial" w:cs="Arial"/>
        </w:rPr>
        <w:t xml:space="preserve"> dated 26/10/2018 </w:t>
      </w:r>
      <w:r w:rsidR="004F61A4" w:rsidRPr="004F61A4">
        <w:rPr>
          <w:rFonts w:ascii="Arial" w:hAnsi="Arial" w:cs="Arial"/>
        </w:rPr>
        <w:t>was</w:t>
      </w:r>
      <w:r w:rsidR="00F97293" w:rsidRPr="004F61A4">
        <w:rPr>
          <w:rFonts w:ascii="Arial" w:hAnsi="Arial" w:cs="Arial"/>
        </w:rPr>
        <w:t xml:space="preserve"> not based on any mistake as to any material fact (Cf paragraphs 17.2-17.4 above).  The decision was not wrong in law for the reasons I outlined at paragraphs 18-21 above </w:t>
      </w:r>
      <w:r w:rsidR="009A3B48" w:rsidRPr="004F61A4">
        <w:rPr>
          <w:rFonts w:ascii="Arial" w:hAnsi="Arial" w:cs="Arial"/>
        </w:rPr>
        <w:t>i.e.,</w:t>
      </w:r>
      <w:r w:rsidR="00F97293" w:rsidRPr="004F61A4">
        <w:rPr>
          <w:rFonts w:ascii="Arial" w:hAnsi="Arial" w:cs="Arial"/>
        </w:rPr>
        <w:t xml:space="preserve"> there is nothing in S88 which specifically prohibits making an indefinite award in the circumstances of the present case.</w:t>
      </w:r>
      <w:r w:rsidR="009A3B48" w:rsidRPr="004F61A4">
        <w:rPr>
          <w:rFonts w:ascii="Arial" w:hAnsi="Arial" w:cs="Arial"/>
        </w:rPr>
        <w:t xml:space="preserve"> </w:t>
      </w:r>
      <w:r w:rsidR="00F97293" w:rsidRPr="004F61A4">
        <w:rPr>
          <w:rFonts w:ascii="Arial" w:hAnsi="Arial" w:cs="Arial"/>
        </w:rPr>
        <w:t xml:space="preserve">There has been no change in Mr </w:t>
      </w:r>
      <w:r w:rsidR="00E3398E">
        <w:rPr>
          <w:rFonts w:ascii="Arial" w:hAnsi="Arial" w:cs="Arial"/>
        </w:rPr>
        <w:t>X</w:t>
      </w:r>
      <w:r w:rsidR="00F97293" w:rsidRPr="004F61A4">
        <w:rPr>
          <w:rFonts w:ascii="Arial" w:hAnsi="Arial" w:cs="Arial"/>
        </w:rPr>
        <w:t xml:space="preserve">’ s circumstances which would provide the basis under Regulation 23 of the Decisions and </w:t>
      </w:r>
      <w:r w:rsidR="00016D47" w:rsidRPr="004F61A4">
        <w:rPr>
          <w:rFonts w:ascii="Arial" w:hAnsi="Arial" w:cs="Arial"/>
        </w:rPr>
        <w:t>Appeals for</w:t>
      </w:r>
      <w:r w:rsidR="00F97293" w:rsidRPr="004F61A4">
        <w:rPr>
          <w:rFonts w:ascii="Arial" w:hAnsi="Arial" w:cs="Arial"/>
        </w:rPr>
        <w:t xml:space="preserve"> </w:t>
      </w:r>
      <w:r w:rsidR="00016D47" w:rsidRPr="004F61A4">
        <w:rPr>
          <w:rFonts w:ascii="Arial" w:hAnsi="Arial" w:cs="Arial"/>
        </w:rPr>
        <w:t>superseding the</w:t>
      </w:r>
      <w:r w:rsidR="00F97293" w:rsidRPr="004F61A4">
        <w:rPr>
          <w:rFonts w:ascii="Arial" w:hAnsi="Arial" w:cs="Arial"/>
        </w:rPr>
        <w:t xml:space="preserve"> decision</w:t>
      </w:r>
      <w:r w:rsidR="00643FA3" w:rsidRPr="004F61A4">
        <w:rPr>
          <w:rFonts w:ascii="Arial" w:hAnsi="Arial" w:cs="Arial"/>
        </w:rPr>
        <w:t>. (</w:t>
      </w:r>
      <w:r w:rsidR="00016D47" w:rsidRPr="004F61A4">
        <w:rPr>
          <w:rFonts w:ascii="Arial" w:hAnsi="Arial" w:cs="Arial"/>
        </w:rPr>
        <w:t>Cf paragraphs 10-11 and 16 above)</w:t>
      </w:r>
    </w:p>
    <w:p w14:paraId="464577CC" w14:textId="77777777" w:rsidR="00016D47" w:rsidRDefault="00016D47" w:rsidP="00016D47">
      <w:pPr>
        <w:pStyle w:val="ListParagraph"/>
        <w:rPr>
          <w:rFonts w:ascii="Arial" w:hAnsi="Arial" w:cs="Arial"/>
        </w:rPr>
      </w:pPr>
    </w:p>
    <w:p w14:paraId="785DEB24" w14:textId="31EB57B9" w:rsidR="00016D47" w:rsidRDefault="00016D47"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b/>
          <w:bCs/>
        </w:rPr>
      </w:pPr>
      <w:r w:rsidRPr="00016D47">
        <w:rPr>
          <w:rFonts w:ascii="Arial" w:hAnsi="Arial" w:cs="Arial"/>
          <w:b/>
          <w:bCs/>
        </w:rPr>
        <w:t>The Respondent has therefore failed to provide any grounds to supersede the decision dated 26/10/2018 making the indefinite award</w:t>
      </w:r>
      <w:r>
        <w:rPr>
          <w:rFonts w:ascii="Arial" w:hAnsi="Arial" w:cs="Arial"/>
          <w:b/>
          <w:bCs/>
        </w:rPr>
        <w:t>.</w:t>
      </w:r>
    </w:p>
    <w:p w14:paraId="7D760ED8" w14:textId="77777777" w:rsidR="004F61A4" w:rsidRDefault="004F61A4" w:rsidP="004F61A4">
      <w:pPr>
        <w:pStyle w:val="ListParagraph"/>
        <w:rPr>
          <w:rFonts w:ascii="Arial" w:hAnsi="Arial" w:cs="Arial"/>
          <w:b/>
          <w:bCs/>
        </w:rPr>
      </w:pPr>
    </w:p>
    <w:p w14:paraId="0643333C" w14:textId="2EC3A1B7" w:rsidR="00016D47" w:rsidRPr="005B7E61" w:rsidRDefault="004F61A4" w:rsidP="005B7E61">
      <w:pPr>
        <w:pStyle w:val="NormalWeb"/>
        <w:numPr>
          <w:ilvl w:val="0"/>
          <w:numId w:val="22"/>
        </w:numPr>
        <w:tabs>
          <w:tab w:val="left" w:pos="851"/>
          <w:tab w:val="left" w:pos="9923"/>
        </w:tabs>
        <w:spacing w:before="0" w:beforeAutospacing="0" w:after="0" w:afterAutospacing="0"/>
        <w:ind w:left="851" w:right="271" w:hanging="425"/>
        <w:rPr>
          <w:rFonts w:ascii="Arial" w:hAnsi="Arial" w:cs="Arial"/>
        </w:rPr>
      </w:pPr>
      <w:r w:rsidRPr="004F61A4">
        <w:rPr>
          <w:rFonts w:ascii="Arial" w:hAnsi="Arial" w:cs="Arial"/>
        </w:rPr>
        <w:t xml:space="preserve">I am reminded </w:t>
      </w:r>
      <w:r>
        <w:rPr>
          <w:rFonts w:ascii="Arial" w:hAnsi="Arial" w:cs="Arial"/>
        </w:rPr>
        <w:t xml:space="preserve">Regulation 38 (2) of the Universal Credit (etc) Claims and Payments Regulations 2013 </w:t>
      </w:r>
      <w:r w:rsidR="005B7E61">
        <w:rPr>
          <w:rFonts w:ascii="Arial" w:hAnsi="Arial" w:cs="Arial"/>
        </w:rPr>
        <w:t>provides.</w:t>
      </w:r>
    </w:p>
    <w:p w14:paraId="0E810CDE" w14:textId="77777777" w:rsidR="005B7E61" w:rsidRDefault="005B7E61" w:rsidP="005B7E61">
      <w:pPr>
        <w:pStyle w:val="Default"/>
      </w:pPr>
    </w:p>
    <w:p w14:paraId="28A63480" w14:textId="36061D13" w:rsidR="005B7E61" w:rsidRPr="005B7E61" w:rsidRDefault="005B7E61" w:rsidP="005B7E61">
      <w:pPr>
        <w:pStyle w:val="ListParagraph"/>
        <w:ind w:left="1560" w:right="1122"/>
        <w:rPr>
          <w:sz w:val="21"/>
          <w:szCs w:val="21"/>
        </w:rPr>
      </w:pPr>
      <w:r w:rsidRPr="005B7E61">
        <w:rPr>
          <w:rFonts w:ascii="Arial" w:hAnsi="Arial" w:cs="Arial"/>
          <w:sz w:val="24"/>
          <w:szCs w:val="24"/>
        </w:rPr>
        <w:t xml:space="preserve">(2) Subject to regulation 8 of the Personal Independence Payment Regulations, a person to whom this regulation applies must supply in such manner as the Secretary of State may determine and within the period applicable under regulation 45(4)(a) of the Universal Credit, Personal Independence Payment, Jobseeker's Allowance and Employment and Support Allowance (Decisions and Appeals) Regulations 2013 </w:t>
      </w:r>
      <w:r w:rsidRPr="005B7E61">
        <w:rPr>
          <w:rFonts w:ascii="Arial" w:hAnsi="Arial" w:cs="Arial"/>
          <w:b/>
          <w:bCs/>
          <w:sz w:val="24"/>
          <w:szCs w:val="24"/>
        </w:rPr>
        <w:t xml:space="preserve"> </w:t>
      </w:r>
      <w:r w:rsidRPr="005B7E61">
        <w:rPr>
          <w:rFonts w:ascii="Arial" w:hAnsi="Arial" w:cs="Arial"/>
          <w:sz w:val="24"/>
          <w:szCs w:val="24"/>
        </w:rPr>
        <w:t>such information or evidence as the Secretary of State may require for determining whether a decision on the award of benefit should be revised under section 9 of the Social Security Act 1998 or superseded under section 10 of that Act</w:t>
      </w:r>
      <w:r>
        <w:rPr>
          <w:sz w:val="21"/>
          <w:szCs w:val="21"/>
        </w:rPr>
        <w:t>.</w:t>
      </w:r>
    </w:p>
    <w:p w14:paraId="548A64B0" w14:textId="3C786C30" w:rsidR="005B7E61" w:rsidRDefault="005B7E61"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rPr>
      </w:pPr>
      <w:r>
        <w:rPr>
          <w:rFonts w:ascii="Arial" w:hAnsi="Arial" w:cs="Arial"/>
        </w:rPr>
        <w:t xml:space="preserve">The Respondent may </w:t>
      </w:r>
      <w:r w:rsidR="008D131A">
        <w:rPr>
          <w:rFonts w:ascii="Arial" w:hAnsi="Arial" w:cs="Arial"/>
        </w:rPr>
        <w:t xml:space="preserve">have reason to confirm from time to time that </w:t>
      </w:r>
      <w:r w:rsidR="004D69FC">
        <w:rPr>
          <w:rFonts w:ascii="Arial" w:hAnsi="Arial" w:cs="Arial"/>
        </w:rPr>
        <w:t xml:space="preserve">Mr </w:t>
      </w:r>
      <w:r w:rsidR="00E3398E">
        <w:rPr>
          <w:rFonts w:ascii="Arial" w:hAnsi="Arial" w:cs="Arial"/>
        </w:rPr>
        <w:t>X</w:t>
      </w:r>
      <w:r w:rsidR="004D69FC">
        <w:rPr>
          <w:rFonts w:ascii="Arial" w:hAnsi="Arial" w:cs="Arial"/>
        </w:rPr>
        <w:t xml:space="preserve"> continues</w:t>
      </w:r>
      <w:r w:rsidR="008D131A">
        <w:rPr>
          <w:rFonts w:ascii="Arial" w:hAnsi="Arial" w:cs="Arial"/>
        </w:rPr>
        <w:t xml:space="preserve"> to have leave to remain in the UK given that his leave has been time limited. (</w:t>
      </w:r>
      <w:r w:rsidR="008D131A" w:rsidRPr="008D131A">
        <w:rPr>
          <w:rFonts w:ascii="Arial" w:hAnsi="Arial" w:cs="Arial"/>
          <w:i/>
          <w:iCs/>
        </w:rPr>
        <w:t>It is common practice for the Immigration authorities to</w:t>
      </w:r>
      <w:r w:rsidR="004D69FC">
        <w:rPr>
          <w:rFonts w:ascii="Arial" w:hAnsi="Arial" w:cs="Arial"/>
          <w:i/>
          <w:iCs/>
        </w:rPr>
        <w:t xml:space="preserve"> </w:t>
      </w:r>
      <w:proofErr w:type="gramStart"/>
      <w:r w:rsidR="004D69FC">
        <w:rPr>
          <w:rFonts w:ascii="Arial" w:hAnsi="Arial" w:cs="Arial"/>
          <w:i/>
          <w:iCs/>
        </w:rPr>
        <w:t xml:space="preserve">successively </w:t>
      </w:r>
      <w:r w:rsidR="008D131A" w:rsidRPr="008D131A">
        <w:rPr>
          <w:rFonts w:ascii="Arial" w:hAnsi="Arial" w:cs="Arial"/>
          <w:i/>
          <w:iCs/>
        </w:rPr>
        <w:t xml:space="preserve"> grant</w:t>
      </w:r>
      <w:proofErr w:type="gramEnd"/>
      <w:r w:rsidR="008D131A" w:rsidRPr="008D131A">
        <w:rPr>
          <w:rFonts w:ascii="Arial" w:hAnsi="Arial" w:cs="Arial"/>
          <w:i/>
          <w:iCs/>
        </w:rPr>
        <w:t xml:space="preserve"> time limited leave before eventually allowing indefinite leave</w:t>
      </w:r>
      <w:r w:rsidR="008D131A">
        <w:rPr>
          <w:rFonts w:ascii="Arial" w:hAnsi="Arial" w:cs="Arial"/>
        </w:rPr>
        <w:t xml:space="preserve">), although it is arguable following Kerr v Department for Social Development for Northern Ireland </w:t>
      </w:r>
      <w:r w:rsidR="008D131A" w:rsidRPr="008D131A">
        <w:rPr>
          <w:rFonts w:ascii="Arial" w:hAnsi="Arial" w:cs="Arial"/>
        </w:rPr>
        <w:t>[2004] UKHL 23</w:t>
      </w:r>
      <w:r w:rsidR="008D131A">
        <w:rPr>
          <w:rFonts w:ascii="Arial" w:hAnsi="Arial" w:cs="Arial"/>
        </w:rPr>
        <w:t xml:space="preserve"> that the Respondent could access this information for itself.</w:t>
      </w:r>
    </w:p>
    <w:p w14:paraId="7B124E6D" w14:textId="77777777" w:rsidR="008D131A" w:rsidRDefault="008D131A" w:rsidP="008D131A">
      <w:pPr>
        <w:pStyle w:val="NormalWeb"/>
        <w:tabs>
          <w:tab w:val="left" w:pos="851"/>
          <w:tab w:val="left" w:pos="9923"/>
        </w:tabs>
        <w:spacing w:before="0" w:beforeAutospacing="0" w:after="0" w:afterAutospacing="0"/>
        <w:ind w:left="851" w:right="271"/>
        <w:rPr>
          <w:rFonts w:ascii="Arial" w:hAnsi="Arial" w:cs="Arial"/>
        </w:rPr>
      </w:pPr>
    </w:p>
    <w:p w14:paraId="67C042E1" w14:textId="607869E7" w:rsidR="008D131A" w:rsidRDefault="008D131A" w:rsidP="008D131A">
      <w:pPr>
        <w:pStyle w:val="NormalWeb"/>
        <w:numPr>
          <w:ilvl w:val="0"/>
          <w:numId w:val="22"/>
        </w:numPr>
        <w:tabs>
          <w:tab w:val="left" w:pos="851"/>
          <w:tab w:val="left" w:pos="9923"/>
        </w:tabs>
        <w:spacing w:before="0" w:beforeAutospacing="0" w:after="0" w:afterAutospacing="0"/>
        <w:ind w:left="851" w:right="555" w:hanging="425"/>
        <w:rPr>
          <w:rFonts w:ascii="Arial" w:hAnsi="Arial" w:cs="Arial"/>
        </w:rPr>
      </w:pPr>
      <w:r>
        <w:rPr>
          <w:rFonts w:ascii="Arial" w:hAnsi="Arial" w:cs="Arial"/>
        </w:rPr>
        <w:t xml:space="preserve">It is strongly arguable notwithstanding Kerr that Regulation 38(2) is a far more appropriate mechanism for the Respondent to maintain the integrity of Mr </w:t>
      </w:r>
      <w:r w:rsidR="00E3398E">
        <w:rPr>
          <w:rFonts w:ascii="Arial" w:hAnsi="Arial" w:cs="Arial"/>
        </w:rPr>
        <w:t>X</w:t>
      </w:r>
      <w:r>
        <w:rPr>
          <w:rFonts w:ascii="Arial" w:hAnsi="Arial" w:cs="Arial"/>
        </w:rPr>
        <w:t xml:space="preserve">’ s award rather than forcing him to periodically make a fresh claim and undergo a full assessment, </w:t>
      </w:r>
      <w:r w:rsidR="002977E3">
        <w:rPr>
          <w:rFonts w:ascii="Arial" w:hAnsi="Arial" w:cs="Arial"/>
        </w:rPr>
        <w:t>even more</w:t>
      </w:r>
      <w:r>
        <w:rPr>
          <w:rFonts w:ascii="Arial" w:hAnsi="Arial" w:cs="Arial"/>
        </w:rPr>
        <w:t xml:space="preserve"> so given that there had been an indefinite award in place</w:t>
      </w:r>
      <w:r w:rsidR="002977E3">
        <w:rPr>
          <w:rFonts w:ascii="Arial" w:hAnsi="Arial" w:cs="Arial"/>
        </w:rPr>
        <w:t>.</w:t>
      </w:r>
    </w:p>
    <w:p w14:paraId="10A5A561" w14:textId="77777777" w:rsidR="002977E3" w:rsidRDefault="002977E3" w:rsidP="002977E3">
      <w:pPr>
        <w:pStyle w:val="ListParagraph"/>
        <w:rPr>
          <w:rFonts w:ascii="Arial" w:hAnsi="Arial" w:cs="Arial"/>
        </w:rPr>
      </w:pPr>
    </w:p>
    <w:p w14:paraId="5780E0F6" w14:textId="06EA190F" w:rsidR="00016D47" w:rsidRPr="00016D47" w:rsidRDefault="00016D47" w:rsidP="00F408BD">
      <w:pPr>
        <w:pStyle w:val="NormalWeb"/>
        <w:numPr>
          <w:ilvl w:val="0"/>
          <w:numId w:val="22"/>
        </w:numPr>
        <w:tabs>
          <w:tab w:val="left" w:pos="851"/>
          <w:tab w:val="left" w:pos="9923"/>
        </w:tabs>
        <w:spacing w:before="0" w:beforeAutospacing="0" w:after="0" w:afterAutospacing="0"/>
        <w:ind w:left="851" w:right="271" w:hanging="425"/>
        <w:rPr>
          <w:rFonts w:ascii="Arial" w:hAnsi="Arial" w:cs="Arial"/>
        </w:rPr>
      </w:pPr>
      <w:r w:rsidRPr="00016D47">
        <w:rPr>
          <w:rFonts w:ascii="Arial" w:hAnsi="Arial" w:cs="Arial"/>
        </w:rPr>
        <w:t xml:space="preserve">I therefore </w:t>
      </w:r>
      <w:r>
        <w:rPr>
          <w:rFonts w:ascii="Arial" w:hAnsi="Arial" w:cs="Arial"/>
        </w:rPr>
        <w:t xml:space="preserve">ask the Tribunal to allow the appeal and restore Mr </w:t>
      </w:r>
      <w:r w:rsidR="00E3398E">
        <w:rPr>
          <w:rFonts w:ascii="Arial" w:hAnsi="Arial" w:cs="Arial"/>
        </w:rPr>
        <w:t>X</w:t>
      </w:r>
      <w:r>
        <w:rPr>
          <w:rFonts w:ascii="Arial" w:hAnsi="Arial" w:cs="Arial"/>
        </w:rPr>
        <w:t xml:space="preserve">’ s indefinite award for the reasons </w:t>
      </w:r>
      <w:r w:rsidR="00643FA3">
        <w:rPr>
          <w:rFonts w:ascii="Arial" w:hAnsi="Arial" w:cs="Arial"/>
        </w:rPr>
        <w:t>outlined.</w:t>
      </w:r>
    </w:p>
    <w:p w14:paraId="089A53D0" w14:textId="61B9E8F4" w:rsidR="00775F2A" w:rsidRDefault="00775F2A" w:rsidP="00E60A1D">
      <w:pPr>
        <w:spacing w:after="0" w:line="260" w:lineRule="exact"/>
        <w:ind w:left="1985" w:right="1264"/>
        <w:rPr>
          <w:rFonts w:ascii="Arial" w:eastAsia="Times New Roman" w:hAnsi="Arial" w:cs="Arial"/>
          <w:sz w:val="24"/>
          <w:szCs w:val="24"/>
        </w:rPr>
      </w:pPr>
      <w:r w:rsidRPr="00775F2A">
        <w:rPr>
          <w:rFonts w:ascii="Arial" w:eastAsia="Times New Roman" w:hAnsi="Arial" w:cs="Arial"/>
          <w:sz w:val="24"/>
          <w:szCs w:val="24"/>
        </w:rPr>
        <w:t xml:space="preserve"> </w:t>
      </w:r>
    </w:p>
    <w:p w14:paraId="089A5442" w14:textId="77777777" w:rsidR="00A6556F" w:rsidRPr="00A6556F" w:rsidRDefault="00A6556F" w:rsidP="00A6556F">
      <w:pPr>
        <w:spacing w:after="0" w:line="240" w:lineRule="auto"/>
        <w:ind w:left="851" w:right="271" w:hanging="425"/>
        <w:rPr>
          <w:rFonts w:ascii="Arial" w:eastAsia="Times New Roman" w:hAnsi="Arial" w:cs="Arial"/>
          <w:sz w:val="24"/>
          <w:szCs w:val="24"/>
        </w:rPr>
      </w:pPr>
      <w:r w:rsidRPr="00A6556F">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089A544F" wp14:editId="089A5450">
            <wp:simplePos x="0" y="0"/>
            <wp:positionH relativeFrom="column">
              <wp:posOffset>466725</wp:posOffset>
            </wp:positionH>
            <wp:positionV relativeFrom="paragraph">
              <wp:posOffset>7620</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089A5443" w14:textId="77777777" w:rsidR="00A6556F" w:rsidRPr="00A6556F" w:rsidRDefault="00A6556F" w:rsidP="00A6556F">
      <w:pPr>
        <w:spacing w:after="0" w:line="240" w:lineRule="auto"/>
        <w:ind w:right="271"/>
        <w:rPr>
          <w:rFonts w:ascii="Arial" w:eastAsia="Times New Roman" w:hAnsi="Arial" w:cs="Arial"/>
          <w:sz w:val="24"/>
          <w:szCs w:val="24"/>
        </w:rPr>
      </w:pPr>
    </w:p>
    <w:p w14:paraId="089A5444" w14:textId="77777777" w:rsidR="00A6556F" w:rsidRPr="00A6556F" w:rsidRDefault="00A6556F" w:rsidP="00A6556F">
      <w:pPr>
        <w:spacing w:after="0" w:line="240" w:lineRule="auto"/>
        <w:ind w:right="271"/>
        <w:rPr>
          <w:rFonts w:ascii="Arial" w:eastAsia="Times New Roman" w:hAnsi="Arial" w:cs="Arial"/>
          <w:sz w:val="24"/>
          <w:szCs w:val="24"/>
        </w:rPr>
      </w:pPr>
    </w:p>
    <w:p w14:paraId="089A5445" w14:textId="77777777" w:rsidR="00A6556F" w:rsidRPr="00A6556F" w:rsidRDefault="00A6556F" w:rsidP="00A6556F">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Derek Stainsby</w:t>
      </w:r>
    </w:p>
    <w:p w14:paraId="089A5446" w14:textId="77777777" w:rsidR="00A6556F" w:rsidRPr="00A6556F" w:rsidRDefault="00A6556F" w:rsidP="00A6556F">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Welfare Rights Adviser</w:t>
      </w:r>
    </w:p>
    <w:p w14:paraId="089A5447" w14:textId="77777777" w:rsidR="00A6556F" w:rsidRPr="00A6556F" w:rsidRDefault="00A6556F" w:rsidP="00A6556F">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 xml:space="preserve">Plumstead Community Law Centre    </w:t>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r>
      <w:r w:rsidRPr="00A6556F">
        <w:rPr>
          <w:rFonts w:ascii="Arial" w:eastAsia="Times New Roman" w:hAnsi="Arial" w:cs="Arial"/>
          <w:sz w:val="24"/>
          <w:szCs w:val="24"/>
        </w:rPr>
        <w:tab/>
        <w:t xml:space="preserve">            </w:t>
      </w:r>
      <w:proofErr w:type="gramStart"/>
      <w:r w:rsidRPr="00A6556F">
        <w:rPr>
          <w:rFonts w:ascii="Arial" w:eastAsia="Times New Roman" w:hAnsi="Arial" w:cs="Arial"/>
          <w:sz w:val="24"/>
          <w:szCs w:val="24"/>
        </w:rPr>
        <w:t>For</w:t>
      </w:r>
      <w:proofErr w:type="gramEnd"/>
      <w:r w:rsidRPr="00A6556F">
        <w:rPr>
          <w:rFonts w:ascii="Arial" w:eastAsia="Times New Roman" w:hAnsi="Arial" w:cs="Arial"/>
          <w:sz w:val="24"/>
          <w:szCs w:val="24"/>
        </w:rPr>
        <w:t xml:space="preserve"> the Appellant </w:t>
      </w:r>
    </w:p>
    <w:p w14:paraId="089A5448" w14:textId="3B78B3B6" w:rsidR="007F3B41" w:rsidRDefault="00643FA3" w:rsidP="001F1245">
      <w:pPr>
        <w:spacing w:after="0" w:line="240" w:lineRule="auto"/>
        <w:ind w:left="5760" w:right="271" w:firstLine="720"/>
        <w:rPr>
          <w:rFonts w:ascii="Arial" w:eastAsia="Times New Roman" w:hAnsi="Arial" w:cs="Arial"/>
          <w:sz w:val="24"/>
          <w:szCs w:val="24"/>
        </w:rPr>
      </w:pPr>
      <w:r>
        <w:rPr>
          <w:rFonts w:ascii="Arial" w:eastAsia="Times New Roman" w:hAnsi="Arial" w:cs="Arial"/>
          <w:sz w:val="24"/>
          <w:szCs w:val="24"/>
        </w:rPr>
        <w:t>18</w:t>
      </w:r>
      <w:r w:rsidR="0000545D">
        <w:rPr>
          <w:rFonts w:ascii="Arial" w:eastAsia="Times New Roman" w:hAnsi="Arial" w:cs="Arial"/>
          <w:sz w:val="24"/>
          <w:szCs w:val="24"/>
        </w:rPr>
        <w:t xml:space="preserve"> </w:t>
      </w:r>
      <w:r>
        <w:rPr>
          <w:rFonts w:ascii="Arial" w:eastAsia="Times New Roman" w:hAnsi="Arial" w:cs="Arial"/>
          <w:sz w:val="24"/>
          <w:szCs w:val="24"/>
        </w:rPr>
        <w:t>April</w:t>
      </w:r>
      <w:r w:rsidR="00D71D35">
        <w:rPr>
          <w:rFonts w:ascii="Arial" w:eastAsia="Times New Roman" w:hAnsi="Arial" w:cs="Arial"/>
          <w:sz w:val="24"/>
          <w:szCs w:val="24"/>
        </w:rPr>
        <w:t xml:space="preserve"> 20</w:t>
      </w:r>
      <w:r>
        <w:rPr>
          <w:rFonts w:ascii="Arial" w:eastAsia="Times New Roman" w:hAnsi="Arial" w:cs="Arial"/>
          <w:sz w:val="24"/>
          <w:szCs w:val="24"/>
        </w:rPr>
        <w:t>23</w:t>
      </w:r>
    </w:p>
    <w:p w14:paraId="089A5449" w14:textId="77777777" w:rsidR="004B4FDF" w:rsidRDefault="004B4FDF" w:rsidP="001F1245">
      <w:pPr>
        <w:spacing w:after="0" w:line="240" w:lineRule="auto"/>
        <w:ind w:left="5760" w:right="271" w:firstLine="720"/>
      </w:pPr>
    </w:p>
    <w:tbl>
      <w:tblPr>
        <w:tblStyle w:val="TableGrid"/>
        <w:tblW w:w="0" w:type="auto"/>
        <w:tblLook w:val="04A0" w:firstRow="1" w:lastRow="0" w:firstColumn="1" w:lastColumn="0" w:noHBand="0" w:noVBand="1"/>
      </w:tblPr>
      <w:tblGrid>
        <w:gridCol w:w="10326"/>
      </w:tblGrid>
      <w:tr w:rsidR="0000545D" w:rsidRPr="0000545D" w14:paraId="089A544B" w14:textId="77777777" w:rsidTr="0000545D">
        <w:tc>
          <w:tcPr>
            <w:tcW w:w="10326" w:type="dxa"/>
          </w:tcPr>
          <w:p w14:paraId="089A544A" w14:textId="77777777" w:rsidR="0000545D" w:rsidRPr="0000545D" w:rsidRDefault="0000545D" w:rsidP="007D4533">
            <w:pPr>
              <w:rPr>
                <w:rFonts w:ascii="Arial" w:hAnsi="Arial" w:cs="Arial"/>
                <w:sz w:val="24"/>
                <w:szCs w:val="24"/>
              </w:rPr>
            </w:pPr>
            <w:r w:rsidRPr="0000545D">
              <w:rPr>
                <w:rFonts w:ascii="Arial" w:hAnsi="Arial" w:cs="Arial"/>
                <w:sz w:val="24"/>
                <w:szCs w:val="24"/>
              </w:rPr>
              <w:lastRenderedPageBreak/>
              <w:t xml:space="preserve">Attachment </w:t>
            </w:r>
          </w:p>
        </w:tc>
      </w:tr>
      <w:tr w:rsidR="0000545D" w:rsidRPr="0000545D" w14:paraId="089A544D" w14:textId="77777777" w:rsidTr="0000545D">
        <w:tc>
          <w:tcPr>
            <w:tcW w:w="10326" w:type="dxa"/>
          </w:tcPr>
          <w:p w14:paraId="089A544C" w14:textId="5D1A7602" w:rsidR="0000545D" w:rsidRPr="0000545D" w:rsidRDefault="00643FA3" w:rsidP="007D4533">
            <w:pPr>
              <w:rPr>
                <w:rFonts w:ascii="Arial" w:hAnsi="Arial" w:cs="Arial"/>
                <w:sz w:val="24"/>
                <w:szCs w:val="24"/>
              </w:rPr>
            </w:pPr>
            <w:r w:rsidRPr="00643FA3">
              <w:rPr>
                <w:rFonts w:ascii="Arial" w:hAnsi="Arial" w:cs="Arial"/>
                <w:sz w:val="24"/>
                <w:szCs w:val="24"/>
              </w:rPr>
              <w:t xml:space="preserve">RS v Secretary of State for Work and Pensions [2016] UKUT 0085 (AAC).  </w:t>
            </w:r>
          </w:p>
        </w:tc>
      </w:tr>
    </w:tbl>
    <w:p w14:paraId="089A544E" w14:textId="77777777" w:rsidR="0000545D" w:rsidRPr="0000545D" w:rsidRDefault="0000545D" w:rsidP="0000545D">
      <w:pPr>
        <w:spacing w:after="0" w:line="240" w:lineRule="auto"/>
        <w:ind w:right="271"/>
        <w:rPr>
          <w:rFonts w:ascii="Arial" w:hAnsi="Arial" w:cs="Arial"/>
          <w:sz w:val="24"/>
          <w:szCs w:val="24"/>
        </w:rPr>
      </w:pPr>
    </w:p>
    <w:sectPr w:rsidR="0000545D" w:rsidRPr="0000545D">
      <w:footerReference w:type="even" r:id="rId9"/>
      <w:footerReference w:type="default" r:id="rId10"/>
      <w:pgSz w:w="11906" w:h="16838" w:code="9"/>
      <w:pgMar w:top="1440" w:right="720" w:bottom="850" w:left="850" w:header="709" w:footer="709" w:gutter="0"/>
      <w:paperSrc w:first="259"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5453" w14:textId="77777777" w:rsidR="00D43588" w:rsidRDefault="00D43588">
      <w:pPr>
        <w:spacing w:after="0" w:line="240" w:lineRule="auto"/>
      </w:pPr>
      <w:r>
        <w:separator/>
      </w:r>
    </w:p>
  </w:endnote>
  <w:endnote w:type="continuationSeparator" w:id="0">
    <w:p w14:paraId="089A5454" w14:textId="77777777" w:rsidR="00D43588" w:rsidRDefault="00D4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455" w14:textId="77777777" w:rsidR="00AD7C5C" w:rsidRDefault="00AD7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A5456" w14:textId="77777777" w:rsidR="00AD7C5C" w:rsidRDefault="00AD7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457" w14:textId="77777777" w:rsidR="00AD7C5C" w:rsidRDefault="00AD7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78D">
      <w:rPr>
        <w:rStyle w:val="PageNumber"/>
        <w:noProof/>
      </w:rPr>
      <w:t>14</w:t>
    </w:r>
    <w:r>
      <w:rPr>
        <w:rStyle w:val="PageNumber"/>
      </w:rPr>
      <w:fldChar w:fldCharType="end"/>
    </w:r>
  </w:p>
  <w:p w14:paraId="089A5458" w14:textId="77777777" w:rsidR="00AD7C5C" w:rsidRDefault="00AD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5451" w14:textId="77777777" w:rsidR="00D43588" w:rsidRDefault="00D43588">
      <w:pPr>
        <w:spacing w:after="0" w:line="240" w:lineRule="auto"/>
      </w:pPr>
      <w:r>
        <w:separator/>
      </w:r>
    </w:p>
  </w:footnote>
  <w:footnote w:type="continuationSeparator" w:id="0">
    <w:p w14:paraId="089A5452" w14:textId="77777777" w:rsidR="00D43588" w:rsidRDefault="00D4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822"/>
    <w:multiLevelType w:val="multilevel"/>
    <w:tmpl w:val="D71282B8"/>
    <w:lvl w:ilvl="0">
      <w:start w:val="22"/>
      <w:numFmt w:val="decimal"/>
      <w:lvlText w:val="%1"/>
      <w:lvlJc w:val="left"/>
      <w:pPr>
        <w:ind w:left="607" w:hanging="465"/>
      </w:pPr>
      <w:rPr>
        <w:rFonts w:hint="default"/>
        <w:sz w:val="24"/>
        <w:szCs w:val="24"/>
      </w:rPr>
    </w:lvl>
    <w:lvl w:ilvl="1">
      <w:start w:val="1"/>
      <w:numFmt w:val="decimal"/>
      <w:lvlText w:val="%1.%2"/>
      <w:lvlJc w:val="left"/>
      <w:pPr>
        <w:ind w:left="1676" w:hanging="465"/>
      </w:pPr>
      <w:rPr>
        <w:rFonts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1" w15:restartNumberingAfterBreak="0">
    <w:nsid w:val="0AFA4E38"/>
    <w:multiLevelType w:val="multilevel"/>
    <w:tmpl w:val="0D780BA6"/>
    <w:lvl w:ilvl="0">
      <w:start w:val="19"/>
      <w:numFmt w:val="decimal"/>
      <w:lvlText w:val="%1"/>
      <w:lvlJc w:val="left"/>
      <w:pPr>
        <w:ind w:left="465" w:hanging="465"/>
      </w:pPr>
      <w:rPr>
        <w:rFonts w:hint="default"/>
      </w:rPr>
    </w:lvl>
    <w:lvl w:ilvl="1">
      <w:start w:val="5"/>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2700D03"/>
    <w:multiLevelType w:val="multilevel"/>
    <w:tmpl w:val="F0D4BE62"/>
    <w:lvl w:ilvl="0">
      <w:start w:val="7"/>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9101D71"/>
    <w:multiLevelType w:val="multilevel"/>
    <w:tmpl w:val="0CB28630"/>
    <w:lvl w:ilvl="0">
      <w:start w:val="2"/>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AF96723"/>
    <w:multiLevelType w:val="multilevel"/>
    <w:tmpl w:val="FA5C577C"/>
    <w:lvl w:ilvl="0">
      <w:start w:val="17"/>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31260B"/>
    <w:multiLevelType w:val="multilevel"/>
    <w:tmpl w:val="6144CA4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512499"/>
    <w:multiLevelType w:val="multilevel"/>
    <w:tmpl w:val="98429158"/>
    <w:lvl w:ilvl="0">
      <w:start w:val="10"/>
      <w:numFmt w:val="decimal"/>
      <w:lvlText w:val="%1"/>
      <w:lvlJc w:val="left"/>
      <w:pPr>
        <w:ind w:left="465" w:hanging="465"/>
      </w:pPr>
      <w:rPr>
        <w:rFonts w:hint="default"/>
        <w:b w:val="0"/>
        <w:i w:val="0"/>
      </w:rPr>
    </w:lvl>
    <w:lvl w:ilvl="1">
      <w:start w:val="1"/>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2C365916"/>
    <w:multiLevelType w:val="multilevel"/>
    <w:tmpl w:val="ACD6086C"/>
    <w:lvl w:ilvl="0">
      <w:start w:val="30"/>
      <w:numFmt w:val="decimal"/>
      <w:lvlText w:val="%1"/>
      <w:lvlJc w:val="left"/>
      <w:pPr>
        <w:ind w:left="360" w:hanging="360"/>
      </w:pPr>
      <w:rPr>
        <w:rFonts w:hint="default"/>
        <w:b w:val="0"/>
        <w:bCs w:val="0"/>
      </w:rPr>
    </w:lvl>
    <w:lvl w:ilvl="1">
      <w:start w:val="2"/>
      <w:numFmt w:val="decimal"/>
      <w:lvlText w:val="%1.%2"/>
      <w:lvlJc w:val="left"/>
      <w:pPr>
        <w:ind w:left="1069" w:hanging="360"/>
      </w:pPr>
      <w:rPr>
        <w:rFonts w:hint="default"/>
        <w:b w:val="0"/>
        <w:bCs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091773"/>
    <w:multiLevelType w:val="hybridMultilevel"/>
    <w:tmpl w:val="962E0828"/>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3A022329"/>
    <w:multiLevelType w:val="multilevel"/>
    <w:tmpl w:val="C1EC108E"/>
    <w:lvl w:ilvl="0">
      <w:start w:val="19"/>
      <w:numFmt w:val="decimal"/>
      <w:lvlText w:val="%1."/>
      <w:lvlJc w:val="left"/>
      <w:pPr>
        <w:ind w:left="1211" w:hanging="360"/>
      </w:pPr>
      <w:rPr>
        <w:rFonts w:hint="default"/>
        <w:sz w:val="24"/>
      </w:rPr>
    </w:lvl>
    <w:lvl w:ilvl="1">
      <w:start w:val="4"/>
      <w:numFmt w:val="decimal"/>
      <w:isLgl/>
      <w:lvlText w:val="%1.%2"/>
      <w:lvlJc w:val="left"/>
      <w:pPr>
        <w:ind w:left="1458"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787" w:hanging="1800"/>
      </w:pPr>
      <w:rPr>
        <w:rFonts w:hint="default"/>
      </w:rPr>
    </w:lvl>
  </w:abstractNum>
  <w:abstractNum w:abstractNumId="10" w15:restartNumberingAfterBreak="0">
    <w:nsid w:val="3A341E40"/>
    <w:multiLevelType w:val="multilevel"/>
    <w:tmpl w:val="5D202C8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4059453F"/>
    <w:multiLevelType w:val="multilevel"/>
    <w:tmpl w:val="FC84F3F2"/>
    <w:lvl w:ilvl="0">
      <w:start w:val="5"/>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42605CE"/>
    <w:multiLevelType w:val="multilevel"/>
    <w:tmpl w:val="8E3284D4"/>
    <w:lvl w:ilvl="0">
      <w:start w:val="17"/>
      <w:numFmt w:val="decimal"/>
      <w:lvlText w:val="%1"/>
      <w:lvlJc w:val="left"/>
      <w:pPr>
        <w:ind w:left="465" w:hanging="465"/>
      </w:pPr>
      <w:rPr>
        <w:rFonts w:hint="default"/>
        <w:b w:val="0"/>
        <w:bCs w:val="0"/>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435B5A"/>
    <w:multiLevelType w:val="hybridMultilevel"/>
    <w:tmpl w:val="9754F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2194F"/>
    <w:multiLevelType w:val="multilevel"/>
    <w:tmpl w:val="3120EE02"/>
    <w:lvl w:ilvl="0">
      <w:start w:val="6"/>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92D596D"/>
    <w:multiLevelType w:val="multilevel"/>
    <w:tmpl w:val="0688FF34"/>
    <w:lvl w:ilvl="0">
      <w:start w:val="19"/>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9817725"/>
    <w:multiLevelType w:val="multilevel"/>
    <w:tmpl w:val="87DA2896"/>
    <w:lvl w:ilvl="0">
      <w:start w:val="9"/>
      <w:numFmt w:val="decimal"/>
      <w:lvlText w:val="%1"/>
      <w:lvlJc w:val="left"/>
      <w:pPr>
        <w:ind w:left="465" w:hanging="465"/>
      </w:pPr>
      <w:rPr>
        <w:rFonts w:hint="default"/>
      </w:rPr>
    </w:lvl>
    <w:lvl w:ilvl="1">
      <w:start w:val="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C9A4E72"/>
    <w:multiLevelType w:val="multilevel"/>
    <w:tmpl w:val="86D8791E"/>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D0353D3"/>
    <w:multiLevelType w:val="multilevel"/>
    <w:tmpl w:val="5A084094"/>
    <w:lvl w:ilvl="0">
      <w:start w:val="1"/>
      <w:numFmt w:val="decimal"/>
      <w:lvlText w:val="%1."/>
      <w:lvlJc w:val="left"/>
      <w:pPr>
        <w:ind w:left="720" w:hanging="360"/>
      </w:pPr>
      <w:rPr>
        <w:b w:val="0"/>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72520DF7"/>
    <w:multiLevelType w:val="multilevel"/>
    <w:tmpl w:val="37F8A9C6"/>
    <w:lvl w:ilvl="0">
      <w:start w:val="23"/>
      <w:numFmt w:val="decimal"/>
      <w:lvlText w:val="%1"/>
      <w:lvlJc w:val="left"/>
      <w:pPr>
        <w:ind w:left="607"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20" w15:restartNumberingAfterBreak="0">
    <w:nsid w:val="76D64EEB"/>
    <w:multiLevelType w:val="multilevel"/>
    <w:tmpl w:val="45960324"/>
    <w:lvl w:ilvl="0">
      <w:start w:val="20"/>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7C995FF5"/>
    <w:multiLevelType w:val="multilevel"/>
    <w:tmpl w:val="88269578"/>
    <w:lvl w:ilvl="0">
      <w:start w:val="16"/>
      <w:numFmt w:val="decimal"/>
      <w:lvlText w:val="%1"/>
      <w:lvlJc w:val="left"/>
      <w:pPr>
        <w:ind w:left="786" w:hanging="360"/>
      </w:pPr>
      <w:rPr>
        <w:rFonts w:hint="default"/>
      </w:rPr>
    </w:lvl>
    <w:lvl w:ilvl="1">
      <w:start w:val="2"/>
      <w:numFmt w:val="decimal"/>
      <w:lvlText w:val="%1.%2"/>
      <w:lvlJc w:val="left"/>
      <w:pPr>
        <w:ind w:left="1212" w:hanging="360"/>
      </w:pPr>
      <w:rPr>
        <w:rFonts w:hint="default"/>
        <w:b w:val="0"/>
      </w:rPr>
    </w:lvl>
    <w:lvl w:ilvl="2">
      <w:start w:val="1"/>
      <w:numFmt w:val="decimal"/>
      <w:lvlText w:val="%1.%2.%3"/>
      <w:lvlJc w:val="left"/>
      <w:pPr>
        <w:ind w:left="1998"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996"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208" w:hanging="1800"/>
      </w:pPr>
      <w:rPr>
        <w:rFonts w:hint="default"/>
      </w:rPr>
    </w:lvl>
    <w:lvl w:ilvl="8">
      <w:start w:val="1"/>
      <w:numFmt w:val="decimal"/>
      <w:lvlText w:val="%1.%2.%3.%4.%5.%6.%7.%8.%9"/>
      <w:lvlJc w:val="left"/>
      <w:pPr>
        <w:ind w:left="5634" w:hanging="1800"/>
      </w:pPr>
      <w:rPr>
        <w:rFonts w:hint="default"/>
      </w:rPr>
    </w:lvl>
  </w:abstractNum>
  <w:num w:numId="1" w16cid:durableId="711349677">
    <w:abstractNumId w:val="18"/>
  </w:num>
  <w:num w:numId="2" w16cid:durableId="289674144">
    <w:abstractNumId w:val="11"/>
  </w:num>
  <w:num w:numId="3" w16cid:durableId="1874804838">
    <w:abstractNumId w:val="3"/>
  </w:num>
  <w:num w:numId="4" w16cid:durableId="1469394255">
    <w:abstractNumId w:val="21"/>
  </w:num>
  <w:num w:numId="5" w16cid:durableId="719287137">
    <w:abstractNumId w:val="0"/>
  </w:num>
  <w:num w:numId="6" w16cid:durableId="1146356964">
    <w:abstractNumId w:val="20"/>
  </w:num>
  <w:num w:numId="7" w16cid:durableId="1526289291">
    <w:abstractNumId w:val="17"/>
  </w:num>
  <w:num w:numId="8" w16cid:durableId="1743601856">
    <w:abstractNumId w:val="19"/>
  </w:num>
  <w:num w:numId="9" w16cid:durableId="1689788467">
    <w:abstractNumId w:val="6"/>
  </w:num>
  <w:num w:numId="10" w16cid:durableId="222445085">
    <w:abstractNumId w:val="16"/>
  </w:num>
  <w:num w:numId="11" w16cid:durableId="592594681">
    <w:abstractNumId w:val="14"/>
  </w:num>
  <w:num w:numId="12" w16cid:durableId="1355302735">
    <w:abstractNumId w:val="2"/>
  </w:num>
  <w:num w:numId="13" w16cid:durableId="490101854">
    <w:abstractNumId w:val="5"/>
  </w:num>
  <w:num w:numId="14" w16cid:durableId="922959442">
    <w:abstractNumId w:val="10"/>
  </w:num>
  <w:num w:numId="15" w16cid:durableId="1558777459">
    <w:abstractNumId w:val="15"/>
  </w:num>
  <w:num w:numId="16" w16cid:durableId="1161117799">
    <w:abstractNumId w:val="9"/>
  </w:num>
  <w:num w:numId="17" w16cid:durableId="1516964093">
    <w:abstractNumId w:val="1"/>
  </w:num>
  <w:num w:numId="18" w16cid:durableId="1200896375">
    <w:abstractNumId w:val="8"/>
  </w:num>
  <w:num w:numId="19" w16cid:durableId="329673991">
    <w:abstractNumId w:val="7"/>
  </w:num>
  <w:num w:numId="20" w16cid:durableId="304550170">
    <w:abstractNumId w:val="13"/>
  </w:num>
  <w:num w:numId="21" w16cid:durableId="1275166210">
    <w:abstractNumId w:val="4"/>
  </w:num>
  <w:num w:numId="22" w16cid:durableId="5015483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6F"/>
    <w:rsid w:val="00002D82"/>
    <w:rsid w:val="00004949"/>
    <w:rsid w:val="0000545D"/>
    <w:rsid w:val="0001207C"/>
    <w:rsid w:val="00016D47"/>
    <w:rsid w:val="00020585"/>
    <w:rsid w:val="00021924"/>
    <w:rsid w:val="00037A33"/>
    <w:rsid w:val="00054227"/>
    <w:rsid w:val="0007575C"/>
    <w:rsid w:val="000773A8"/>
    <w:rsid w:val="00096DEC"/>
    <w:rsid w:val="000A5DDD"/>
    <w:rsid w:val="000B0092"/>
    <w:rsid w:val="000B2D70"/>
    <w:rsid w:val="000B5DFC"/>
    <w:rsid w:val="000D1F78"/>
    <w:rsid w:val="00102B11"/>
    <w:rsid w:val="00105F12"/>
    <w:rsid w:val="001218BA"/>
    <w:rsid w:val="00132B55"/>
    <w:rsid w:val="00140427"/>
    <w:rsid w:val="00163981"/>
    <w:rsid w:val="0017723A"/>
    <w:rsid w:val="00187CB4"/>
    <w:rsid w:val="00191A8F"/>
    <w:rsid w:val="0019329D"/>
    <w:rsid w:val="001A2D66"/>
    <w:rsid w:val="001B1D0B"/>
    <w:rsid w:val="001C310F"/>
    <w:rsid w:val="001F1245"/>
    <w:rsid w:val="001F7BF6"/>
    <w:rsid w:val="002116C6"/>
    <w:rsid w:val="00220C55"/>
    <w:rsid w:val="0022566B"/>
    <w:rsid w:val="002346C4"/>
    <w:rsid w:val="0024709F"/>
    <w:rsid w:val="002632BB"/>
    <w:rsid w:val="002703BD"/>
    <w:rsid w:val="00272848"/>
    <w:rsid w:val="00273CE3"/>
    <w:rsid w:val="0027525A"/>
    <w:rsid w:val="00276A9D"/>
    <w:rsid w:val="002977E3"/>
    <w:rsid w:val="002F1258"/>
    <w:rsid w:val="002F2043"/>
    <w:rsid w:val="00316100"/>
    <w:rsid w:val="003227BA"/>
    <w:rsid w:val="003301F1"/>
    <w:rsid w:val="00332827"/>
    <w:rsid w:val="00350375"/>
    <w:rsid w:val="003579A6"/>
    <w:rsid w:val="0036329B"/>
    <w:rsid w:val="00376DD6"/>
    <w:rsid w:val="003B24A2"/>
    <w:rsid w:val="003B278D"/>
    <w:rsid w:val="003B5465"/>
    <w:rsid w:val="003C63C3"/>
    <w:rsid w:val="003F7FDA"/>
    <w:rsid w:val="00415DD5"/>
    <w:rsid w:val="004216A1"/>
    <w:rsid w:val="00434A97"/>
    <w:rsid w:val="00435806"/>
    <w:rsid w:val="00452895"/>
    <w:rsid w:val="0045341E"/>
    <w:rsid w:val="004636FC"/>
    <w:rsid w:val="00496809"/>
    <w:rsid w:val="004B4822"/>
    <w:rsid w:val="004B4FDF"/>
    <w:rsid w:val="004C3BC7"/>
    <w:rsid w:val="004D69FC"/>
    <w:rsid w:val="004D7574"/>
    <w:rsid w:val="004D7FA9"/>
    <w:rsid w:val="004E42F0"/>
    <w:rsid w:val="004F27B8"/>
    <w:rsid w:val="004F61A4"/>
    <w:rsid w:val="00500C51"/>
    <w:rsid w:val="00532321"/>
    <w:rsid w:val="00534304"/>
    <w:rsid w:val="005755E7"/>
    <w:rsid w:val="0058053B"/>
    <w:rsid w:val="00585D35"/>
    <w:rsid w:val="005A4EB2"/>
    <w:rsid w:val="005B51AE"/>
    <w:rsid w:val="005B7E61"/>
    <w:rsid w:val="005E3C22"/>
    <w:rsid w:val="005E706C"/>
    <w:rsid w:val="005F01DD"/>
    <w:rsid w:val="005F129A"/>
    <w:rsid w:val="005F14FD"/>
    <w:rsid w:val="0063450D"/>
    <w:rsid w:val="006424C6"/>
    <w:rsid w:val="00643FA3"/>
    <w:rsid w:val="0064621C"/>
    <w:rsid w:val="00650D61"/>
    <w:rsid w:val="00670239"/>
    <w:rsid w:val="00680B05"/>
    <w:rsid w:val="00682A37"/>
    <w:rsid w:val="00690ECB"/>
    <w:rsid w:val="00692734"/>
    <w:rsid w:val="00697C2B"/>
    <w:rsid w:val="006B3070"/>
    <w:rsid w:val="006D648E"/>
    <w:rsid w:val="006E25B6"/>
    <w:rsid w:val="006E5B98"/>
    <w:rsid w:val="007056A0"/>
    <w:rsid w:val="007073ED"/>
    <w:rsid w:val="007178B0"/>
    <w:rsid w:val="007411DC"/>
    <w:rsid w:val="00770AE0"/>
    <w:rsid w:val="00771A0D"/>
    <w:rsid w:val="00775F2A"/>
    <w:rsid w:val="0079706D"/>
    <w:rsid w:val="007B08CB"/>
    <w:rsid w:val="007B532F"/>
    <w:rsid w:val="007E021C"/>
    <w:rsid w:val="007E318A"/>
    <w:rsid w:val="007F3B41"/>
    <w:rsid w:val="008047C6"/>
    <w:rsid w:val="008067A8"/>
    <w:rsid w:val="00812406"/>
    <w:rsid w:val="00812E6C"/>
    <w:rsid w:val="00824396"/>
    <w:rsid w:val="00830F0F"/>
    <w:rsid w:val="00862086"/>
    <w:rsid w:val="00874846"/>
    <w:rsid w:val="00876B1E"/>
    <w:rsid w:val="0088192F"/>
    <w:rsid w:val="00884141"/>
    <w:rsid w:val="008B3362"/>
    <w:rsid w:val="008B71C6"/>
    <w:rsid w:val="008D131A"/>
    <w:rsid w:val="008D3377"/>
    <w:rsid w:val="008E1307"/>
    <w:rsid w:val="008E4C94"/>
    <w:rsid w:val="008F1677"/>
    <w:rsid w:val="00912700"/>
    <w:rsid w:val="00923B2D"/>
    <w:rsid w:val="009247DA"/>
    <w:rsid w:val="00924C5B"/>
    <w:rsid w:val="00944D04"/>
    <w:rsid w:val="00950139"/>
    <w:rsid w:val="0096458F"/>
    <w:rsid w:val="009744C7"/>
    <w:rsid w:val="00980811"/>
    <w:rsid w:val="00983785"/>
    <w:rsid w:val="009A3B48"/>
    <w:rsid w:val="009A4839"/>
    <w:rsid w:val="009B14B4"/>
    <w:rsid w:val="009B3205"/>
    <w:rsid w:val="009C24F2"/>
    <w:rsid w:val="009C6B8D"/>
    <w:rsid w:val="009F17F4"/>
    <w:rsid w:val="009F4182"/>
    <w:rsid w:val="00A214BE"/>
    <w:rsid w:val="00A24E67"/>
    <w:rsid w:val="00A45811"/>
    <w:rsid w:val="00A503DE"/>
    <w:rsid w:val="00A6556F"/>
    <w:rsid w:val="00A65ED6"/>
    <w:rsid w:val="00A857DE"/>
    <w:rsid w:val="00A85EDF"/>
    <w:rsid w:val="00A956AB"/>
    <w:rsid w:val="00AA77DF"/>
    <w:rsid w:val="00AB5A0A"/>
    <w:rsid w:val="00AC592C"/>
    <w:rsid w:val="00AD7C5C"/>
    <w:rsid w:val="00AF649F"/>
    <w:rsid w:val="00B17F06"/>
    <w:rsid w:val="00B21148"/>
    <w:rsid w:val="00B24537"/>
    <w:rsid w:val="00B32CD0"/>
    <w:rsid w:val="00B36CB5"/>
    <w:rsid w:val="00B420B4"/>
    <w:rsid w:val="00B46CD6"/>
    <w:rsid w:val="00B54D4E"/>
    <w:rsid w:val="00B6229A"/>
    <w:rsid w:val="00B76C98"/>
    <w:rsid w:val="00BA1FC9"/>
    <w:rsid w:val="00BD2932"/>
    <w:rsid w:val="00BE2187"/>
    <w:rsid w:val="00BE5F1D"/>
    <w:rsid w:val="00BF1253"/>
    <w:rsid w:val="00C03AA5"/>
    <w:rsid w:val="00C04479"/>
    <w:rsid w:val="00C05E91"/>
    <w:rsid w:val="00C16212"/>
    <w:rsid w:val="00C16F4A"/>
    <w:rsid w:val="00C43665"/>
    <w:rsid w:val="00C658DA"/>
    <w:rsid w:val="00C6619B"/>
    <w:rsid w:val="00C8401A"/>
    <w:rsid w:val="00C90E71"/>
    <w:rsid w:val="00CB58C3"/>
    <w:rsid w:val="00CB7638"/>
    <w:rsid w:val="00CC5841"/>
    <w:rsid w:val="00CD3FD7"/>
    <w:rsid w:val="00D00543"/>
    <w:rsid w:val="00D179C1"/>
    <w:rsid w:val="00D2330E"/>
    <w:rsid w:val="00D313BA"/>
    <w:rsid w:val="00D31842"/>
    <w:rsid w:val="00D40533"/>
    <w:rsid w:val="00D43588"/>
    <w:rsid w:val="00D44AB5"/>
    <w:rsid w:val="00D538E6"/>
    <w:rsid w:val="00D71227"/>
    <w:rsid w:val="00D71D35"/>
    <w:rsid w:val="00D74481"/>
    <w:rsid w:val="00D81E0E"/>
    <w:rsid w:val="00D91E3A"/>
    <w:rsid w:val="00D927CF"/>
    <w:rsid w:val="00DA4816"/>
    <w:rsid w:val="00DB7F47"/>
    <w:rsid w:val="00DC42FB"/>
    <w:rsid w:val="00DC48B7"/>
    <w:rsid w:val="00DD2123"/>
    <w:rsid w:val="00DD3B7C"/>
    <w:rsid w:val="00DF286D"/>
    <w:rsid w:val="00E053C2"/>
    <w:rsid w:val="00E2367E"/>
    <w:rsid w:val="00E25165"/>
    <w:rsid w:val="00E3398E"/>
    <w:rsid w:val="00E537B4"/>
    <w:rsid w:val="00E56BAA"/>
    <w:rsid w:val="00E60A1D"/>
    <w:rsid w:val="00E80344"/>
    <w:rsid w:val="00E865A5"/>
    <w:rsid w:val="00E87013"/>
    <w:rsid w:val="00E9542D"/>
    <w:rsid w:val="00EA5C4A"/>
    <w:rsid w:val="00EB1659"/>
    <w:rsid w:val="00ED60E2"/>
    <w:rsid w:val="00ED6396"/>
    <w:rsid w:val="00ED639B"/>
    <w:rsid w:val="00ED65CC"/>
    <w:rsid w:val="00EE18D4"/>
    <w:rsid w:val="00F07B94"/>
    <w:rsid w:val="00F1672C"/>
    <w:rsid w:val="00F20DB8"/>
    <w:rsid w:val="00F2246D"/>
    <w:rsid w:val="00F343D5"/>
    <w:rsid w:val="00F408BD"/>
    <w:rsid w:val="00F457D1"/>
    <w:rsid w:val="00F458AA"/>
    <w:rsid w:val="00F57EC4"/>
    <w:rsid w:val="00F65501"/>
    <w:rsid w:val="00F67610"/>
    <w:rsid w:val="00F705C0"/>
    <w:rsid w:val="00F71948"/>
    <w:rsid w:val="00F85666"/>
    <w:rsid w:val="00F87A1A"/>
    <w:rsid w:val="00F96144"/>
    <w:rsid w:val="00F97293"/>
    <w:rsid w:val="00FB6818"/>
    <w:rsid w:val="00FB7360"/>
    <w:rsid w:val="00FC0413"/>
    <w:rsid w:val="00FC09D5"/>
    <w:rsid w:val="00FC2C03"/>
    <w:rsid w:val="00FE1BCE"/>
    <w:rsid w:val="00F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533D"/>
  <w15:docId w15:val="{73CCBAC3-E141-4067-BC6C-80EAF21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5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56F"/>
  </w:style>
  <w:style w:type="character" w:styleId="PageNumber">
    <w:name w:val="page number"/>
    <w:basedOn w:val="DefaultParagraphFont"/>
    <w:rsid w:val="00A6556F"/>
  </w:style>
  <w:style w:type="paragraph" w:styleId="ListParagraph">
    <w:name w:val="List Paragraph"/>
    <w:basedOn w:val="Normal"/>
    <w:uiPriority w:val="34"/>
    <w:qFormat/>
    <w:rsid w:val="001F1245"/>
    <w:pPr>
      <w:ind w:left="720"/>
      <w:contextualSpacing/>
    </w:pPr>
  </w:style>
  <w:style w:type="paragraph" w:styleId="BalloonText">
    <w:name w:val="Balloon Text"/>
    <w:basedOn w:val="Normal"/>
    <w:link w:val="BalloonTextChar"/>
    <w:uiPriority w:val="99"/>
    <w:semiHidden/>
    <w:unhideWhenUsed/>
    <w:rsid w:val="0003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3"/>
    <w:rPr>
      <w:rFonts w:ascii="Tahoma" w:hAnsi="Tahoma" w:cs="Tahoma"/>
      <w:sz w:val="16"/>
      <w:szCs w:val="16"/>
    </w:rPr>
  </w:style>
  <w:style w:type="character" w:styleId="CommentReference">
    <w:name w:val="annotation reference"/>
    <w:basedOn w:val="DefaultParagraphFont"/>
    <w:uiPriority w:val="99"/>
    <w:semiHidden/>
    <w:unhideWhenUsed/>
    <w:rsid w:val="000B5DFC"/>
    <w:rPr>
      <w:sz w:val="16"/>
      <w:szCs w:val="16"/>
    </w:rPr>
  </w:style>
  <w:style w:type="paragraph" w:styleId="CommentText">
    <w:name w:val="annotation text"/>
    <w:basedOn w:val="Normal"/>
    <w:link w:val="CommentTextChar"/>
    <w:uiPriority w:val="99"/>
    <w:semiHidden/>
    <w:unhideWhenUsed/>
    <w:rsid w:val="000B5DFC"/>
    <w:pPr>
      <w:spacing w:line="240" w:lineRule="auto"/>
    </w:pPr>
    <w:rPr>
      <w:sz w:val="20"/>
      <w:szCs w:val="20"/>
    </w:rPr>
  </w:style>
  <w:style w:type="character" w:customStyle="1" w:styleId="CommentTextChar">
    <w:name w:val="Comment Text Char"/>
    <w:basedOn w:val="DefaultParagraphFont"/>
    <w:link w:val="CommentText"/>
    <w:uiPriority w:val="99"/>
    <w:semiHidden/>
    <w:rsid w:val="000B5DFC"/>
    <w:rPr>
      <w:sz w:val="20"/>
      <w:szCs w:val="20"/>
    </w:rPr>
  </w:style>
  <w:style w:type="paragraph" w:styleId="CommentSubject">
    <w:name w:val="annotation subject"/>
    <w:basedOn w:val="CommentText"/>
    <w:next w:val="CommentText"/>
    <w:link w:val="CommentSubjectChar"/>
    <w:uiPriority w:val="99"/>
    <w:semiHidden/>
    <w:unhideWhenUsed/>
    <w:rsid w:val="000B5DFC"/>
    <w:rPr>
      <w:b/>
      <w:bCs/>
    </w:rPr>
  </w:style>
  <w:style w:type="character" w:customStyle="1" w:styleId="CommentSubjectChar">
    <w:name w:val="Comment Subject Char"/>
    <w:basedOn w:val="CommentTextChar"/>
    <w:link w:val="CommentSubject"/>
    <w:uiPriority w:val="99"/>
    <w:semiHidden/>
    <w:rsid w:val="000B5DFC"/>
    <w:rPr>
      <w:b/>
      <w:bCs/>
      <w:sz w:val="20"/>
      <w:szCs w:val="20"/>
    </w:rPr>
  </w:style>
  <w:style w:type="paragraph" w:styleId="Revision">
    <w:name w:val="Revision"/>
    <w:hidden/>
    <w:uiPriority w:val="99"/>
    <w:semiHidden/>
    <w:rsid w:val="000B5DFC"/>
    <w:pPr>
      <w:spacing w:after="0" w:line="240" w:lineRule="auto"/>
    </w:pPr>
  </w:style>
  <w:style w:type="paragraph" w:styleId="NormalWeb">
    <w:name w:val="Normal (Web)"/>
    <w:basedOn w:val="Normal"/>
    <w:rsid w:val="007073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D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557">
      <w:bodyDiv w:val="1"/>
      <w:marLeft w:val="0"/>
      <w:marRight w:val="0"/>
      <w:marTop w:val="0"/>
      <w:marBottom w:val="0"/>
      <w:divBdr>
        <w:top w:val="none" w:sz="0" w:space="0" w:color="auto"/>
        <w:left w:val="none" w:sz="0" w:space="0" w:color="auto"/>
        <w:bottom w:val="none" w:sz="0" w:space="0" w:color="auto"/>
        <w:right w:val="none" w:sz="0" w:space="0" w:color="auto"/>
      </w:divBdr>
    </w:div>
    <w:div w:id="401801642">
      <w:bodyDiv w:val="1"/>
      <w:marLeft w:val="0"/>
      <w:marRight w:val="0"/>
      <w:marTop w:val="0"/>
      <w:marBottom w:val="0"/>
      <w:divBdr>
        <w:top w:val="none" w:sz="0" w:space="0" w:color="auto"/>
        <w:left w:val="none" w:sz="0" w:space="0" w:color="auto"/>
        <w:bottom w:val="none" w:sz="0" w:space="0" w:color="auto"/>
        <w:right w:val="none" w:sz="0" w:space="0" w:color="auto"/>
      </w:divBdr>
      <w:divsChild>
        <w:div w:id="1634676056">
          <w:marLeft w:val="0"/>
          <w:marRight w:val="0"/>
          <w:marTop w:val="0"/>
          <w:marBottom w:val="0"/>
          <w:divBdr>
            <w:top w:val="none" w:sz="0" w:space="0" w:color="auto"/>
            <w:left w:val="none" w:sz="0" w:space="0" w:color="auto"/>
            <w:bottom w:val="none" w:sz="0" w:space="0" w:color="auto"/>
            <w:right w:val="none" w:sz="0" w:space="0" w:color="auto"/>
          </w:divBdr>
          <w:divsChild>
            <w:div w:id="255293117">
              <w:marLeft w:val="0"/>
              <w:marRight w:val="0"/>
              <w:marTop w:val="0"/>
              <w:marBottom w:val="0"/>
              <w:divBdr>
                <w:top w:val="none" w:sz="0" w:space="0" w:color="auto"/>
                <w:left w:val="none" w:sz="0" w:space="0" w:color="auto"/>
                <w:bottom w:val="none" w:sz="0" w:space="0" w:color="auto"/>
                <w:right w:val="none" w:sz="0" w:space="0" w:color="auto"/>
              </w:divBdr>
              <w:divsChild>
                <w:div w:id="1610509874">
                  <w:marLeft w:val="0"/>
                  <w:marRight w:val="0"/>
                  <w:marTop w:val="0"/>
                  <w:marBottom w:val="0"/>
                  <w:divBdr>
                    <w:top w:val="none" w:sz="0" w:space="0" w:color="auto"/>
                    <w:left w:val="none" w:sz="0" w:space="0" w:color="auto"/>
                    <w:bottom w:val="none" w:sz="0" w:space="0" w:color="auto"/>
                    <w:right w:val="none" w:sz="0" w:space="0" w:color="auto"/>
                  </w:divBdr>
                  <w:divsChild>
                    <w:div w:id="64840974">
                      <w:marLeft w:val="0"/>
                      <w:marRight w:val="0"/>
                      <w:marTop w:val="0"/>
                      <w:marBottom w:val="0"/>
                      <w:divBdr>
                        <w:top w:val="none" w:sz="0" w:space="0" w:color="auto"/>
                        <w:left w:val="none" w:sz="0" w:space="0" w:color="auto"/>
                        <w:bottom w:val="none" w:sz="0" w:space="0" w:color="auto"/>
                        <w:right w:val="none" w:sz="0" w:space="0" w:color="auto"/>
                      </w:divBdr>
                      <w:divsChild>
                        <w:div w:id="254629717">
                          <w:marLeft w:val="0"/>
                          <w:marRight w:val="0"/>
                          <w:marTop w:val="0"/>
                          <w:marBottom w:val="0"/>
                          <w:divBdr>
                            <w:top w:val="none" w:sz="0" w:space="0" w:color="auto"/>
                            <w:left w:val="none" w:sz="0" w:space="0" w:color="auto"/>
                            <w:bottom w:val="none" w:sz="0" w:space="0" w:color="auto"/>
                            <w:right w:val="none" w:sz="0" w:space="0" w:color="auto"/>
                          </w:divBdr>
                          <w:divsChild>
                            <w:div w:id="11675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43633">
      <w:bodyDiv w:val="1"/>
      <w:marLeft w:val="0"/>
      <w:marRight w:val="0"/>
      <w:marTop w:val="0"/>
      <w:marBottom w:val="0"/>
      <w:divBdr>
        <w:top w:val="none" w:sz="0" w:space="0" w:color="auto"/>
        <w:left w:val="none" w:sz="0" w:space="0" w:color="auto"/>
        <w:bottom w:val="none" w:sz="0" w:space="0" w:color="auto"/>
        <w:right w:val="none" w:sz="0" w:space="0" w:color="auto"/>
      </w:divBdr>
    </w:div>
    <w:div w:id="685060348">
      <w:bodyDiv w:val="1"/>
      <w:marLeft w:val="0"/>
      <w:marRight w:val="0"/>
      <w:marTop w:val="0"/>
      <w:marBottom w:val="0"/>
      <w:divBdr>
        <w:top w:val="none" w:sz="0" w:space="0" w:color="auto"/>
        <w:left w:val="none" w:sz="0" w:space="0" w:color="auto"/>
        <w:bottom w:val="none" w:sz="0" w:space="0" w:color="auto"/>
        <w:right w:val="none" w:sz="0" w:space="0" w:color="auto"/>
      </w:divBdr>
    </w:div>
    <w:div w:id="1735200716">
      <w:bodyDiv w:val="1"/>
      <w:marLeft w:val="0"/>
      <w:marRight w:val="0"/>
      <w:marTop w:val="0"/>
      <w:marBottom w:val="0"/>
      <w:divBdr>
        <w:top w:val="none" w:sz="0" w:space="0" w:color="auto"/>
        <w:left w:val="none" w:sz="0" w:space="0" w:color="auto"/>
        <w:bottom w:val="none" w:sz="0" w:space="0" w:color="auto"/>
        <w:right w:val="none" w:sz="0" w:space="0" w:color="auto"/>
      </w:divBdr>
    </w:div>
    <w:div w:id="1816222449">
      <w:bodyDiv w:val="1"/>
      <w:marLeft w:val="0"/>
      <w:marRight w:val="0"/>
      <w:marTop w:val="0"/>
      <w:marBottom w:val="0"/>
      <w:divBdr>
        <w:top w:val="none" w:sz="0" w:space="0" w:color="auto"/>
        <w:left w:val="none" w:sz="0" w:space="0" w:color="auto"/>
        <w:bottom w:val="none" w:sz="0" w:space="0" w:color="auto"/>
        <w:right w:val="none" w:sz="0" w:space="0" w:color="auto"/>
      </w:divBdr>
      <w:divsChild>
        <w:div w:id="1596598648">
          <w:marLeft w:val="0"/>
          <w:marRight w:val="0"/>
          <w:marTop w:val="0"/>
          <w:marBottom w:val="0"/>
          <w:divBdr>
            <w:top w:val="none" w:sz="0" w:space="0" w:color="auto"/>
            <w:left w:val="none" w:sz="0" w:space="0" w:color="auto"/>
            <w:bottom w:val="none" w:sz="0" w:space="0" w:color="auto"/>
            <w:right w:val="none" w:sz="0" w:space="0" w:color="auto"/>
          </w:divBdr>
          <w:divsChild>
            <w:div w:id="1509296431">
              <w:marLeft w:val="0"/>
              <w:marRight w:val="0"/>
              <w:marTop w:val="0"/>
              <w:marBottom w:val="0"/>
              <w:divBdr>
                <w:top w:val="none" w:sz="0" w:space="0" w:color="auto"/>
                <w:left w:val="none" w:sz="0" w:space="0" w:color="auto"/>
                <w:bottom w:val="none" w:sz="0" w:space="0" w:color="auto"/>
                <w:right w:val="none" w:sz="0" w:space="0" w:color="auto"/>
              </w:divBdr>
              <w:divsChild>
                <w:div w:id="1024870170">
                  <w:marLeft w:val="0"/>
                  <w:marRight w:val="0"/>
                  <w:marTop w:val="0"/>
                  <w:marBottom w:val="0"/>
                  <w:divBdr>
                    <w:top w:val="none" w:sz="0" w:space="0" w:color="auto"/>
                    <w:left w:val="none" w:sz="0" w:space="0" w:color="auto"/>
                    <w:bottom w:val="none" w:sz="0" w:space="0" w:color="auto"/>
                    <w:right w:val="none" w:sz="0" w:space="0" w:color="auto"/>
                  </w:divBdr>
                  <w:divsChild>
                    <w:div w:id="1229534440">
                      <w:marLeft w:val="0"/>
                      <w:marRight w:val="0"/>
                      <w:marTop w:val="0"/>
                      <w:marBottom w:val="0"/>
                      <w:divBdr>
                        <w:top w:val="none" w:sz="0" w:space="0" w:color="auto"/>
                        <w:left w:val="none" w:sz="0" w:space="0" w:color="auto"/>
                        <w:bottom w:val="none" w:sz="0" w:space="0" w:color="auto"/>
                        <w:right w:val="none" w:sz="0" w:space="0" w:color="auto"/>
                      </w:divBdr>
                      <w:divsChild>
                        <w:div w:id="819615802">
                          <w:marLeft w:val="0"/>
                          <w:marRight w:val="0"/>
                          <w:marTop w:val="0"/>
                          <w:marBottom w:val="0"/>
                          <w:divBdr>
                            <w:top w:val="none" w:sz="0" w:space="0" w:color="auto"/>
                            <w:left w:val="none" w:sz="0" w:space="0" w:color="auto"/>
                            <w:bottom w:val="none" w:sz="0" w:space="0" w:color="auto"/>
                            <w:right w:val="none" w:sz="0" w:space="0" w:color="auto"/>
                          </w:divBdr>
                          <w:divsChild>
                            <w:div w:id="1520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25DB-3289-4EAA-9ACB-3BF3FB3C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6</cp:revision>
  <cp:lastPrinted>2018-06-12T07:33:00Z</cp:lastPrinted>
  <dcterms:created xsi:type="dcterms:W3CDTF">2023-10-10T12:59:00Z</dcterms:created>
  <dcterms:modified xsi:type="dcterms:W3CDTF">2023-10-10T13:18:00Z</dcterms:modified>
</cp:coreProperties>
</file>